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pPr>
      <w:bookmarkStart w:id="9" w:name="_GoBack"/>
      <w:bookmarkEnd w:id="9"/>
    </w:p>
    <w:p>
      <w:pPr>
        <w:widowControl/>
        <w:spacing w:after="160" w:line="259" w:lineRule="auto"/>
        <w:jc w:val="center"/>
        <w:rPr>
          <w:rFonts w:ascii="宋体" w:hAnsi="宋体" w:eastAsia="宋体" w:cs="Times New Roman"/>
          <w:b/>
          <w:kern w:val="0"/>
          <w:sz w:val="44"/>
          <w:szCs w:val="44"/>
        </w:rPr>
      </w:pPr>
      <w:r>
        <w:rPr>
          <w:rFonts w:hint="eastAsia" w:ascii="宋体" w:hAnsi="宋体" w:eastAsia="宋体" w:cs="Times New Roman"/>
          <w:b/>
          <w:kern w:val="0"/>
          <w:sz w:val="44"/>
          <w:szCs w:val="44"/>
        </w:rPr>
        <w:t>关于固定收益品种的估值处理标准</w:t>
      </w:r>
    </w:p>
    <w:p>
      <w:pPr>
        <w:rPr>
          <w:rFonts w:ascii="宋体" w:hAnsi="宋体" w:eastAsia="宋体" w:cs="Times New Roman"/>
          <w:b/>
          <w:kern w:val="0"/>
          <w:sz w:val="44"/>
          <w:szCs w:val="44"/>
        </w:rPr>
      </w:pPr>
    </w:p>
    <w:sdt>
      <w:sdtPr>
        <w:rPr>
          <w:rFonts w:hint="eastAsia" w:ascii="黑体" w:hAnsi="黑体" w:eastAsia="黑体" w:cs="黑体"/>
          <w:color w:val="auto"/>
          <w:kern w:val="2"/>
          <w:sz w:val="28"/>
          <w:szCs w:val="28"/>
          <w:lang w:val="zh-CN"/>
        </w:rPr>
        <w:id w:val="-1267467734"/>
        <w:docPartObj>
          <w:docPartGallery w:val="Table of Contents"/>
          <w:docPartUnique/>
        </w:docPartObj>
      </w:sdtPr>
      <w:sdtEndPr>
        <w:rPr>
          <w:rFonts w:hint="eastAsia" w:asciiTheme="minorHAnsi" w:hAnsiTheme="minorHAnsi" w:eastAsiaTheme="minorEastAsia" w:cstheme="minorBidi"/>
          <w:b/>
          <w:bCs/>
          <w:color w:val="auto"/>
          <w:kern w:val="2"/>
          <w:sz w:val="21"/>
          <w:szCs w:val="22"/>
          <w:lang w:val="zh-CN"/>
        </w:rPr>
      </w:sdtEndPr>
      <w:sdtContent>
        <w:p>
          <w:pPr>
            <w:pStyle w:val="17"/>
            <w:jc w:val="center"/>
            <w:rPr>
              <w:rFonts w:ascii="宋体" w:hAnsi="宋体" w:eastAsia="宋体" w:cs="黑体"/>
              <w:b/>
              <w:color w:val="auto"/>
              <w:lang w:val="zh-CN"/>
            </w:rPr>
          </w:pPr>
          <w:r>
            <w:rPr>
              <w:rFonts w:hint="eastAsia" w:ascii="宋体" w:hAnsi="宋体" w:eastAsia="宋体" w:cs="黑体"/>
              <w:b/>
              <w:color w:val="auto"/>
              <w:lang w:val="zh-CN"/>
            </w:rPr>
            <w:t>目  录</w:t>
          </w:r>
        </w:p>
        <w:p>
          <w:pPr>
            <w:rPr>
              <w:rFonts w:ascii="宋体" w:hAnsi="宋体" w:eastAsia="宋体" w:cs="黑体"/>
              <w:sz w:val="32"/>
              <w:szCs w:val="32"/>
              <w:lang w:val="zh-CN"/>
            </w:rPr>
          </w:pPr>
        </w:p>
        <w:p>
          <w:pPr>
            <w:pStyle w:val="9"/>
            <w:tabs>
              <w:tab w:val="right" w:leader="dot" w:pos="8296"/>
            </w:tabs>
            <w:rPr>
              <w:rFonts w:ascii="仿宋" w:hAnsi="仿宋" w:eastAsia="仿宋" w:cstheme="minorBidi"/>
              <w:kern w:val="2"/>
              <w:sz w:val="32"/>
              <w:szCs w:val="32"/>
            </w:rPr>
          </w:pPr>
          <w:r>
            <w:rPr>
              <w:rFonts w:hint="eastAsia" w:ascii="仿宋" w:hAnsi="仿宋" w:eastAsia="仿宋" w:cs="黑体"/>
              <w:sz w:val="32"/>
              <w:szCs w:val="32"/>
            </w:rPr>
            <w:fldChar w:fldCharType="begin"/>
          </w:r>
          <w:r>
            <w:rPr>
              <w:rFonts w:hint="eastAsia" w:ascii="仿宋" w:hAnsi="仿宋" w:eastAsia="仿宋" w:cs="黑体"/>
              <w:sz w:val="32"/>
              <w:szCs w:val="32"/>
            </w:rPr>
            <w:instrText xml:space="preserve"> TOC \o "1-3" \h \z \u </w:instrText>
          </w:r>
          <w:r>
            <w:rPr>
              <w:rFonts w:hint="eastAsia" w:ascii="仿宋" w:hAnsi="仿宋" w:eastAsia="仿宋" w:cs="黑体"/>
              <w:sz w:val="32"/>
              <w:szCs w:val="32"/>
            </w:rPr>
            <w:fldChar w:fldCharType="separate"/>
          </w:r>
          <w:r>
            <w:fldChar w:fldCharType="begin"/>
          </w:r>
          <w:r>
            <w:instrText xml:space="preserve"> HYPERLINK \l "_Toc89854425" </w:instrText>
          </w:r>
          <w:r>
            <w:fldChar w:fldCharType="separate"/>
          </w:r>
          <w:r>
            <w:rPr>
              <w:rStyle w:val="13"/>
              <w:rFonts w:ascii="仿宋" w:hAnsi="仿宋" w:eastAsia="仿宋"/>
              <w:sz w:val="32"/>
              <w:szCs w:val="32"/>
            </w:rPr>
            <w:t>一、总则</w:t>
          </w:r>
          <w:r>
            <w:rPr>
              <w:rFonts w:ascii="仿宋" w:hAnsi="仿宋" w:eastAsia="仿宋"/>
              <w:sz w:val="32"/>
              <w:szCs w:val="32"/>
            </w:rPr>
            <w:tab/>
          </w:r>
          <w:r>
            <w:rPr>
              <w:rFonts w:ascii="仿宋" w:hAnsi="仿宋" w:eastAsia="仿宋"/>
              <w:sz w:val="32"/>
              <w:szCs w:val="32"/>
            </w:rPr>
            <w:fldChar w:fldCharType="begin"/>
          </w:r>
          <w:r>
            <w:rPr>
              <w:rFonts w:ascii="仿宋" w:hAnsi="仿宋" w:eastAsia="仿宋"/>
              <w:sz w:val="32"/>
              <w:szCs w:val="32"/>
            </w:rPr>
            <w:instrText xml:space="preserve"> PAGEREF _Toc89854425 \h </w:instrText>
          </w:r>
          <w:r>
            <w:rPr>
              <w:rFonts w:ascii="仿宋" w:hAnsi="仿宋" w:eastAsia="仿宋"/>
              <w:sz w:val="32"/>
              <w:szCs w:val="32"/>
            </w:rPr>
            <w:fldChar w:fldCharType="separate"/>
          </w:r>
          <w:r>
            <w:rPr>
              <w:rFonts w:ascii="仿宋" w:hAnsi="仿宋" w:eastAsia="仿宋"/>
              <w:sz w:val="32"/>
              <w:szCs w:val="32"/>
            </w:rPr>
            <w:t>2</w:t>
          </w:r>
          <w:r>
            <w:rPr>
              <w:rFonts w:ascii="仿宋" w:hAnsi="仿宋" w:eastAsia="仿宋"/>
              <w:sz w:val="32"/>
              <w:szCs w:val="32"/>
            </w:rPr>
            <w:fldChar w:fldCharType="end"/>
          </w:r>
          <w:r>
            <w:rPr>
              <w:rFonts w:ascii="仿宋" w:hAnsi="仿宋" w:eastAsia="仿宋"/>
              <w:sz w:val="32"/>
              <w:szCs w:val="32"/>
            </w:rPr>
            <w:fldChar w:fldCharType="end"/>
          </w:r>
        </w:p>
        <w:p>
          <w:pPr>
            <w:pStyle w:val="9"/>
            <w:tabs>
              <w:tab w:val="right" w:leader="dot" w:pos="8296"/>
            </w:tabs>
            <w:rPr>
              <w:rFonts w:ascii="仿宋" w:hAnsi="仿宋" w:eastAsia="仿宋" w:cstheme="minorBidi"/>
              <w:kern w:val="2"/>
              <w:sz w:val="32"/>
              <w:szCs w:val="32"/>
            </w:rPr>
          </w:pPr>
          <w:r>
            <w:fldChar w:fldCharType="begin"/>
          </w:r>
          <w:r>
            <w:instrText xml:space="preserve"> HYPERLINK \l "_Toc89854426" </w:instrText>
          </w:r>
          <w:r>
            <w:fldChar w:fldCharType="separate"/>
          </w:r>
          <w:r>
            <w:rPr>
              <w:rStyle w:val="13"/>
              <w:rFonts w:ascii="仿宋" w:hAnsi="仿宋" w:eastAsia="仿宋"/>
              <w:sz w:val="32"/>
              <w:szCs w:val="32"/>
            </w:rPr>
            <w:t>二、以公允价值计量的固定收益品种估值处理标准</w:t>
          </w:r>
          <w:r>
            <w:rPr>
              <w:rFonts w:ascii="仿宋" w:hAnsi="仿宋" w:eastAsia="仿宋"/>
              <w:sz w:val="32"/>
              <w:szCs w:val="32"/>
            </w:rPr>
            <w:tab/>
          </w:r>
          <w:r>
            <w:rPr>
              <w:rFonts w:ascii="仿宋" w:hAnsi="仿宋" w:eastAsia="仿宋"/>
              <w:sz w:val="32"/>
              <w:szCs w:val="32"/>
            </w:rPr>
            <w:fldChar w:fldCharType="begin"/>
          </w:r>
          <w:r>
            <w:rPr>
              <w:rFonts w:ascii="仿宋" w:hAnsi="仿宋" w:eastAsia="仿宋"/>
              <w:sz w:val="32"/>
              <w:szCs w:val="32"/>
            </w:rPr>
            <w:instrText xml:space="preserve"> PAGEREF _Toc89854426 \h </w:instrText>
          </w:r>
          <w:r>
            <w:rPr>
              <w:rFonts w:ascii="仿宋" w:hAnsi="仿宋" w:eastAsia="仿宋"/>
              <w:sz w:val="32"/>
              <w:szCs w:val="32"/>
            </w:rPr>
            <w:fldChar w:fldCharType="separate"/>
          </w:r>
          <w:r>
            <w:rPr>
              <w:rFonts w:ascii="仿宋" w:hAnsi="仿宋" w:eastAsia="仿宋"/>
              <w:sz w:val="32"/>
              <w:szCs w:val="32"/>
            </w:rPr>
            <w:t>5</w:t>
          </w:r>
          <w:r>
            <w:rPr>
              <w:rFonts w:ascii="仿宋" w:hAnsi="仿宋" w:eastAsia="仿宋"/>
              <w:sz w:val="32"/>
              <w:szCs w:val="32"/>
            </w:rPr>
            <w:fldChar w:fldCharType="end"/>
          </w:r>
          <w:r>
            <w:rPr>
              <w:rFonts w:ascii="仿宋" w:hAnsi="仿宋" w:eastAsia="仿宋"/>
              <w:sz w:val="32"/>
              <w:szCs w:val="32"/>
            </w:rPr>
            <w:fldChar w:fldCharType="end"/>
          </w:r>
        </w:p>
        <w:p>
          <w:pPr>
            <w:pStyle w:val="9"/>
            <w:tabs>
              <w:tab w:val="right" w:leader="dot" w:pos="8296"/>
            </w:tabs>
            <w:rPr>
              <w:rFonts w:ascii="仿宋" w:hAnsi="仿宋" w:eastAsia="仿宋" w:cstheme="minorBidi"/>
              <w:kern w:val="2"/>
              <w:sz w:val="32"/>
              <w:szCs w:val="32"/>
            </w:rPr>
          </w:pPr>
          <w:r>
            <w:fldChar w:fldCharType="begin"/>
          </w:r>
          <w:r>
            <w:instrText xml:space="preserve"> HYPERLINK \l "_Toc89854427" </w:instrText>
          </w:r>
          <w:r>
            <w:fldChar w:fldCharType="separate"/>
          </w:r>
          <w:r>
            <w:rPr>
              <w:rStyle w:val="13"/>
              <w:rFonts w:ascii="仿宋" w:hAnsi="仿宋" w:eastAsia="仿宋"/>
              <w:sz w:val="32"/>
              <w:szCs w:val="32"/>
            </w:rPr>
            <w:t>三、以摊余成本计量的固定收益品种减值处理标准</w:t>
          </w:r>
          <w:r>
            <w:rPr>
              <w:rFonts w:ascii="仿宋" w:hAnsi="仿宋" w:eastAsia="仿宋"/>
              <w:sz w:val="32"/>
              <w:szCs w:val="32"/>
            </w:rPr>
            <w:tab/>
          </w:r>
          <w:r>
            <w:rPr>
              <w:rFonts w:ascii="仿宋" w:hAnsi="仿宋" w:eastAsia="仿宋"/>
              <w:sz w:val="32"/>
              <w:szCs w:val="32"/>
            </w:rPr>
            <w:fldChar w:fldCharType="begin"/>
          </w:r>
          <w:r>
            <w:rPr>
              <w:rFonts w:ascii="仿宋" w:hAnsi="仿宋" w:eastAsia="仿宋"/>
              <w:sz w:val="32"/>
              <w:szCs w:val="32"/>
            </w:rPr>
            <w:instrText xml:space="preserve"> PAGEREF _Toc89854427 \h </w:instrText>
          </w:r>
          <w:r>
            <w:rPr>
              <w:rFonts w:ascii="仿宋" w:hAnsi="仿宋" w:eastAsia="仿宋"/>
              <w:sz w:val="32"/>
              <w:szCs w:val="32"/>
            </w:rPr>
            <w:fldChar w:fldCharType="separate"/>
          </w:r>
          <w:r>
            <w:rPr>
              <w:rFonts w:ascii="仿宋" w:hAnsi="仿宋" w:eastAsia="仿宋"/>
              <w:sz w:val="32"/>
              <w:szCs w:val="32"/>
            </w:rPr>
            <w:t>6</w:t>
          </w:r>
          <w:r>
            <w:rPr>
              <w:rFonts w:ascii="仿宋" w:hAnsi="仿宋" w:eastAsia="仿宋"/>
              <w:sz w:val="32"/>
              <w:szCs w:val="32"/>
            </w:rPr>
            <w:fldChar w:fldCharType="end"/>
          </w:r>
          <w:r>
            <w:rPr>
              <w:rFonts w:ascii="仿宋" w:hAnsi="仿宋" w:eastAsia="仿宋"/>
              <w:sz w:val="32"/>
              <w:szCs w:val="32"/>
            </w:rPr>
            <w:fldChar w:fldCharType="end"/>
          </w:r>
        </w:p>
        <w:p>
          <w:pPr>
            <w:pStyle w:val="9"/>
            <w:tabs>
              <w:tab w:val="right" w:leader="dot" w:pos="8296"/>
            </w:tabs>
            <w:rPr>
              <w:rFonts w:ascii="仿宋" w:hAnsi="仿宋" w:eastAsia="仿宋" w:cstheme="minorBidi"/>
              <w:kern w:val="2"/>
              <w:sz w:val="32"/>
              <w:szCs w:val="32"/>
            </w:rPr>
          </w:pPr>
          <w:r>
            <w:fldChar w:fldCharType="begin"/>
          </w:r>
          <w:r>
            <w:instrText xml:space="preserve"> HYPERLINK \l "_Toc89854428" </w:instrText>
          </w:r>
          <w:r>
            <w:fldChar w:fldCharType="separate"/>
          </w:r>
          <w:r>
            <w:rPr>
              <w:rStyle w:val="13"/>
              <w:rFonts w:ascii="仿宋" w:hAnsi="仿宋" w:eastAsia="仿宋"/>
              <w:sz w:val="32"/>
              <w:szCs w:val="32"/>
            </w:rPr>
            <w:t>四、校验与纠偏</w:t>
          </w:r>
          <w:r>
            <w:rPr>
              <w:rFonts w:ascii="仿宋" w:hAnsi="仿宋" w:eastAsia="仿宋"/>
              <w:sz w:val="32"/>
              <w:szCs w:val="32"/>
            </w:rPr>
            <w:tab/>
          </w:r>
          <w:r>
            <w:rPr>
              <w:rFonts w:ascii="仿宋" w:hAnsi="仿宋" w:eastAsia="仿宋"/>
              <w:sz w:val="32"/>
              <w:szCs w:val="32"/>
            </w:rPr>
            <w:fldChar w:fldCharType="begin"/>
          </w:r>
          <w:r>
            <w:rPr>
              <w:rFonts w:ascii="仿宋" w:hAnsi="仿宋" w:eastAsia="仿宋"/>
              <w:sz w:val="32"/>
              <w:szCs w:val="32"/>
            </w:rPr>
            <w:instrText xml:space="preserve"> PAGEREF _Toc89854428 \h </w:instrText>
          </w:r>
          <w:r>
            <w:rPr>
              <w:rFonts w:ascii="仿宋" w:hAnsi="仿宋" w:eastAsia="仿宋"/>
              <w:sz w:val="32"/>
              <w:szCs w:val="32"/>
            </w:rPr>
            <w:fldChar w:fldCharType="separate"/>
          </w:r>
          <w:r>
            <w:rPr>
              <w:rFonts w:ascii="仿宋" w:hAnsi="仿宋" w:eastAsia="仿宋"/>
              <w:sz w:val="32"/>
              <w:szCs w:val="32"/>
            </w:rPr>
            <w:t>8</w:t>
          </w:r>
          <w:r>
            <w:rPr>
              <w:rFonts w:ascii="仿宋" w:hAnsi="仿宋" w:eastAsia="仿宋"/>
              <w:sz w:val="32"/>
              <w:szCs w:val="32"/>
            </w:rPr>
            <w:fldChar w:fldCharType="end"/>
          </w:r>
          <w:r>
            <w:rPr>
              <w:rFonts w:ascii="仿宋" w:hAnsi="仿宋" w:eastAsia="仿宋"/>
              <w:sz w:val="32"/>
              <w:szCs w:val="32"/>
            </w:rPr>
            <w:fldChar w:fldCharType="end"/>
          </w:r>
        </w:p>
        <w:p>
          <w:pPr>
            <w:pStyle w:val="9"/>
            <w:tabs>
              <w:tab w:val="right" w:leader="dot" w:pos="8296"/>
            </w:tabs>
            <w:rPr>
              <w:rFonts w:ascii="仿宋" w:hAnsi="仿宋" w:eastAsia="仿宋" w:cstheme="minorBidi"/>
              <w:kern w:val="2"/>
              <w:sz w:val="32"/>
              <w:szCs w:val="32"/>
            </w:rPr>
          </w:pPr>
          <w:r>
            <w:fldChar w:fldCharType="begin"/>
          </w:r>
          <w:r>
            <w:instrText xml:space="preserve"> HYPERLINK \l "_Toc89854429" </w:instrText>
          </w:r>
          <w:r>
            <w:fldChar w:fldCharType="separate"/>
          </w:r>
          <w:r>
            <w:rPr>
              <w:rStyle w:val="13"/>
              <w:rFonts w:ascii="仿宋" w:hAnsi="仿宋" w:eastAsia="仿宋"/>
              <w:sz w:val="32"/>
              <w:szCs w:val="32"/>
            </w:rPr>
            <w:t>五、释义</w:t>
          </w:r>
          <w:r>
            <w:rPr>
              <w:rFonts w:ascii="仿宋" w:hAnsi="仿宋" w:eastAsia="仿宋"/>
              <w:sz w:val="32"/>
              <w:szCs w:val="32"/>
            </w:rPr>
            <w:tab/>
          </w:r>
          <w:r>
            <w:rPr>
              <w:rFonts w:ascii="仿宋" w:hAnsi="仿宋" w:eastAsia="仿宋"/>
              <w:sz w:val="32"/>
              <w:szCs w:val="32"/>
            </w:rPr>
            <w:fldChar w:fldCharType="begin"/>
          </w:r>
          <w:r>
            <w:rPr>
              <w:rFonts w:ascii="仿宋" w:hAnsi="仿宋" w:eastAsia="仿宋"/>
              <w:sz w:val="32"/>
              <w:szCs w:val="32"/>
            </w:rPr>
            <w:instrText xml:space="preserve"> PAGEREF _Toc89854429 \h </w:instrText>
          </w:r>
          <w:r>
            <w:rPr>
              <w:rFonts w:ascii="仿宋" w:hAnsi="仿宋" w:eastAsia="仿宋"/>
              <w:sz w:val="32"/>
              <w:szCs w:val="32"/>
            </w:rPr>
            <w:fldChar w:fldCharType="separate"/>
          </w:r>
          <w:r>
            <w:rPr>
              <w:rFonts w:ascii="仿宋" w:hAnsi="仿宋" w:eastAsia="仿宋"/>
              <w:sz w:val="32"/>
              <w:szCs w:val="32"/>
            </w:rPr>
            <w:t>9</w:t>
          </w:r>
          <w:r>
            <w:rPr>
              <w:rFonts w:ascii="仿宋" w:hAnsi="仿宋" w:eastAsia="仿宋"/>
              <w:sz w:val="32"/>
              <w:szCs w:val="32"/>
            </w:rPr>
            <w:fldChar w:fldCharType="end"/>
          </w:r>
          <w:r>
            <w:rPr>
              <w:rFonts w:ascii="仿宋" w:hAnsi="仿宋" w:eastAsia="仿宋"/>
              <w:sz w:val="32"/>
              <w:szCs w:val="32"/>
            </w:rPr>
            <w:fldChar w:fldCharType="end"/>
          </w:r>
        </w:p>
        <w:p>
          <w:pPr>
            <w:pStyle w:val="9"/>
            <w:tabs>
              <w:tab w:val="right" w:leader="dot" w:pos="8296"/>
            </w:tabs>
            <w:rPr>
              <w:rFonts w:asciiTheme="minorHAnsi" w:hAnsiTheme="minorHAnsi" w:eastAsiaTheme="minorEastAsia" w:cstheme="minorBidi"/>
              <w:kern w:val="2"/>
              <w:sz w:val="21"/>
            </w:rPr>
          </w:pPr>
          <w:r>
            <w:fldChar w:fldCharType="begin"/>
          </w:r>
          <w:r>
            <w:instrText xml:space="preserve"> HYPERLINK \l "_Toc89854430" </w:instrText>
          </w:r>
          <w:r>
            <w:fldChar w:fldCharType="separate"/>
          </w:r>
          <w:r>
            <w:rPr>
              <w:rStyle w:val="13"/>
              <w:rFonts w:ascii="仿宋" w:hAnsi="仿宋" w:eastAsia="仿宋"/>
              <w:sz w:val="32"/>
              <w:szCs w:val="32"/>
            </w:rPr>
            <w:t>六、附则</w:t>
          </w:r>
          <w:r>
            <w:rPr>
              <w:rFonts w:ascii="仿宋" w:hAnsi="仿宋" w:eastAsia="仿宋"/>
              <w:sz w:val="32"/>
              <w:szCs w:val="32"/>
            </w:rPr>
            <w:tab/>
          </w:r>
          <w:r>
            <w:rPr>
              <w:rFonts w:ascii="仿宋" w:hAnsi="仿宋" w:eastAsia="仿宋"/>
              <w:sz w:val="32"/>
              <w:szCs w:val="32"/>
            </w:rPr>
            <w:fldChar w:fldCharType="begin"/>
          </w:r>
          <w:r>
            <w:rPr>
              <w:rFonts w:ascii="仿宋" w:hAnsi="仿宋" w:eastAsia="仿宋"/>
              <w:sz w:val="32"/>
              <w:szCs w:val="32"/>
            </w:rPr>
            <w:instrText xml:space="preserve"> PAGEREF _Toc89854430 \h </w:instrText>
          </w:r>
          <w:r>
            <w:rPr>
              <w:rFonts w:ascii="仿宋" w:hAnsi="仿宋" w:eastAsia="仿宋"/>
              <w:sz w:val="32"/>
              <w:szCs w:val="32"/>
            </w:rPr>
            <w:fldChar w:fldCharType="separate"/>
          </w:r>
          <w:r>
            <w:rPr>
              <w:rFonts w:ascii="仿宋" w:hAnsi="仿宋" w:eastAsia="仿宋"/>
              <w:sz w:val="32"/>
              <w:szCs w:val="32"/>
            </w:rPr>
            <w:t>10</w:t>
          </w:r>
          <w:r>
            <w:rPr>
              <w:rFonts w:ascii="仿宋" w:hAnsi="仿宋" w:eastAsia="仿宋"/>
              <w:sz w:val="32"/>
              <w:szCs w:val="32"/>
            </w:rPr>
            <w:fldChar w:fldCharType="end"/>
          </w:r>
          <w:r>
            <w:rPr>
              <w:rFonts w:ascii="仿宋" w:hAnsi="仿宋" w:eastAsia="仿宋"/>
              <w:sz w:val="32"/>
              <w:szCs w:val="32"/>
            </w:rPr>
            <w:fldChar w:fldCharType="end"/>
          </w:r>
        </w:p>
        <w:p>
          <w:r>
            <w:rPr>
              <w:rFonts w:hint="eastAsia" w:ascii="仿宋" w:hAnsi="仿宋" w:eastAsia="仿宋" w:cs="黑体"/>
              <w:bCs/>
              <w:sz w:val="32"/>
              <w:szCs w:val="32"/>
              <w:lang w:val="zh-CN"/>
            </w:rPr>
            <w:fldChar w:fldCharType="end"/>
          </w:r>
        </w:p>
      </w:sdtContent>
    </w:sdt>
    <w:p>
      <w:pPr>
        <w:rPr>
          <w:rFonts w:ascii="仿宋" w:hAnsi="仿宋" w:eastAsia="仿宋"/>
          <w:b/>
          <w:sz w:val="32"/>
          <w:szCs w:val="32"/>
        </w:rPr>
        <w:sectPr>
          <w:footerReference r:id="rId3" w:type="default"/>
          <w:pgSz w:w="11906" w:h="16838"/>
          <w:pgMar w:top="1440" w:right="1800" w:bottom="1440" w:left="1800" w:header="851" w:footer="992" w:gutter="0"/>
          <w:cols w:space="425" w:num="1"/>
          <w:docGrid w:type="lines" w:linePitch="312" w:charSpace="0"/>
        </w:sectPr>
      </w:pPr>
    </w:p>
    <w:p>
      <w:pPr>
        <w:pStyle w:val="2"/>
        <w:jc w:val="center"/>
        <w:rPr>
          <w:rFonts w:hint="eastAsia" w:ascii="黑体" w:hAnsi="黑体" w:eastAsia="黑体" w:cs="黑体"/>
          <w:b w:val="0"/>
          <w:bCs w:val="0"/>
          <w:sz w:val="32"/>
          <w:szCs w:val="32"/>
        </w:rPr>
      </w:pPr>
      <w:bookmarkStart w:id="0" w:name="_Toc89854425"/>
      <w:r>
        <w:rPr>
          <w:rFonts w:hint="eastAsia" w:ascii="黑体" w:hAnsi="黑体" w:eastAsia="黑体" w:cs="黑体"/>
          <w:b w:val="0"/>
          <w:bCs w:val="0"/>
          <w:sz w:val="32"/>
          <w:szCs w:val="32"/>
        </w:rPr>
        <w:t>一、总则</w:t>
      </w:r>
      <w:bookmarkEnd w:id="0"/>
    </w:p>
    <w:p>
      <w:pPr>
        <w:spacing w:line="560" w:lineRule="exact"/>
        <w:ind w:firstLine="642" w:firstLineChars="200"/>
        <w:rPr>
          <w:rFonts w:ascii="仿宋" w:hAnsi="仿宋" w:eastAsia="仿宋" w:cs="Times New Roman"/>
          <w:sz w:val="32"/>
          <w:szCs w:val="32"/>
        </w:rPr>
      </w:pPr>
      <w:r>
        <w:rPr>
          <w:rFonts w:hint="eastAsia" w:ascii="仿宋" w:hAnsi="仿宋" w:eastAsia="仿宋" w:cs="Times New Roman"/>
          <w:b/>
          <w:sz w:val="32"/>
          <w:szCs w:val="32"/>
        </w:rPr>
        <w:t xml:space="preserve">第一条 </w:t>
      </w:r>
      <w:r>
        <w:rPr>
          <w:rFonts w:hint="eastAsia" w:ascii="仿宋" w:hAnsi="仿宋" w:eastAsia="仿宋" w:cs="Times New Roman"/>
          <w:sz w:val="32"/>
          <w:szCs w:val="32"/>
        </w:rPr>
        <w:t>为进一步规范证券投资基金（以下简称基金）进行日常固定收益品种估值的业务标准，根据《证券投资基金法》《关于证券投资基金估值业务的指导意见》《企业会计准则</w:t>
      </w:r>
      <w:r>
        <w:rPr>
          <w:rFonts w:ascii="仿宋" w:hAnsi="仿宋" w:eastAsia="仿宋" w:cs="Times New Roman"/>
          <w:sz w:val="32"/>
          <w:szCs w:val="32"/>
        </w:rPr>
        <w:t>》</w:t>
      </w:r>
      <w:r>
        <w:rPr>
          <w:rFonts w:hint="eastAsia" w:ascii="仿宋" w:hAnsi="仿宋" w:eastAsia="仿宋" w:cs="Times New Roman"/>
          <w:sz w:val="32"/>
          <w:szCs w:val="32"/>
        </w:rPr>
        <w:t>《资产管理产品相关会计处理规定</w:t>
      </w:r>
      <w:r>
        <w:rPr>
          <w:rFonts w:ascii="仿宋" w:hAnsi="仿宋" w:eastAsia="仿宋" w:cs="Times New Roman"/>
          <w:sz w:val="32"/>
          <w:szCs w:val="32"/>
        </w:rPr>
        <w:t>》</w:t>
      </w:r>
      <w:r>
        <w:rPr>
          <w:rFonts w:hint="eastAsia" w:ascii="仿宋" w:hAnsi="仿宋" w:eastAsia="仿宋" w:cs="Times New Roman"/>
          <w:sz w:val="32"/>
          <w:szCs w:val="32"/>
        </w:rPr>
        <w:t>等法律、法规，制定本标准。</w:t>
      </w:r>
    </w:p>
    <w:p>
      <w:pPr>
        <w:spacing w:line="560" w:lineRule="exact"/>
        <w:ind w:firstLine="642" w:firstLineChars="200"/>
        <w:rPr>
          <w:rFonts w:ascii="仿宋" w:hAnsi="仿宋" w:eastAsia="仿宋" w:cs="Times New Roman"/>
          <w:sz w:val="32"/>
          <w:szCs w:val="32"/>
        </w:rPr>
      </w:pPr>
      <w:r>
        <w:rPr>
          <w:rFonts w:hint="eastAsia" w:ascii="仿宋" w:hAnsi="仿宋" w:eastAsia="仿宋" w:cs="Times New Roman"/>
          <w:b/>
          <w:sz w:val="32"/>
          <w:szCs w:val="32"/>
        </w:rPr>
        <w:t xml:space="preserve">第二条 </w:t>
      </w:r>
      <w:r>
        <w:rPr>
          <w:rFonts w:hint="eastAsia" w:ascii="仿宋" w:hAnsi="仿宋" w:eastAsia="仿宋" w:cs="Times New Roman"/>
          <w:sz w:val="32"/>
          <w:szCs w:val="32"/>
        </w:rPr>
        <w:t>本标准所称的固定收益品种，包括在银行间债券市场、上海证券交易所、深圳证券交易所、北京证券交易所及中国证券监督管理委员会认可的其他交易场所上市交易或挂牌转让的国债、中央银行债、政策性银行债、短期融资券、中期票据、企业债、公司债、商业银行金融债、可转换债券、可交换债券、私募债、证券公司短期债、资产支持证券、非公开定向债务融资工具、同业存单等债券投资品种，</w:t>
      </w:r>
      <w:r>
        <w:rPr>
          <w:rFonts w:ascii="仿宋" w:hAnsi="仿宋" w:eastAsia="仿宋" w:cs="Times New Roman"/>
          <w:sz w:val="32"/>
          <w:szCs w:val="32"/>
        </w:rPr>
        <w:t>以及</w:t>
      </w:r>
      <w:r>
        <w:rPr>
          <w:rFonts w:hint="eastAsia" w:ascii="仿宋" w:hAnsi="仿宋" w:eastAsia="仿宋" w:cs="Times New Roman"/>
          <w:sz w:val="32"/>
          <w:szCs w:val="32"/>
        </w:rPr>
        <w:t>同业存款、债券回购等其他在活跃市场中没有报价但回收金额固定或可确定的非衍生</w:t>
      </w:r>
      <w:r>
        <w:rPr>
          <w:rFonts w:ascii="仿宋" w:hAnsi="仿宋" w:eastAsia="仿宋" w:cs="Times New Roman"/>
          <w:sz w:val="32"/>
          <w:szCs w:val="32"/>
        </w:rPr>
        <w:t>金融</w:t>
      </w:r>
      <w:r>
        <w:rPr>
          <w:rFonts w:hint="eastAsia" w:ascii="仿宋" w:hAnsi="仿宋" w:eastAsia="仿宋" w:cs="Times New Roman"/>
          <w:sz w:val="32"/>
          <w:szCs w:val="32"/>
        </w:rPr>
        <w:t>资产。</w:t>
      </w:r>
    </w:p>
    <w:p>
      <w:pPr>
        <w:spacing w:line="560" w:lineRule="exact"/>
        <w:ind w:firstLine="642" w:firstLineChars="200"/>
        <w:rPr>
          <w:rFonts w:hint="eastAsia" w:ascii="仿宋" w:hAnsi="仿宋" w:eastAsia="仿宋" w:cs="Times New Roman"/>
          <w:b/>
          <w:sz w:val="32"/>
          <w:szCs w:val="32"/>
        </w:rPr>
      </w:pPr>
      <w:r>
        <w:rPr>
          <w:rFonts w:hint="eastAsia" w:ascii="仿宋" w:hAnsi="仿宋" w:eastAsia="仿宋" w:cs="Times New Roman"/>
          <w:b/>
          <w:sz w:val="32"/>
          <w:szCs w:val="32"/>
        </w:rPr>
        <w:t xml:space="preserve">第三条 </w:t>
      </w:r>
      <w:r>
        <w:rPr>
          <w:rFonts w:hint="eastAsia" w:ascii="仿宋" w:hAnsi="仿宋" w:eastAsia="仿宋" w:cs="Times New Roman"/>
          <w:sz w:val="32"/>
          <w:szCs w:val="32"/>
        </w:rPr>
        <w:t>公开募集</w:t>
      </w:r>
      <w:r>
        <w:rPr>
          <w:rFonts w:ascii="仿宋" w:hAnsi="仿宋" w:eastAsia="仿宋" w:cs="Times New Roman"/>
          <w:sz w:val="32"/>
          <w:szCs w:val="32"/>
        </w:rPr>
        <w:t>证券投资基金对固定收益品种</w:t>
      </w:r>
      <w:r>
        <w:rPr>
          <w:rFonts w:hint="eastAsia" w:ascii="仿宋" w:hAnsi="仿宋" w:eastAsia="仿宋" w:cs="Times New Roman"/>
          <w:sz w:val="32"/>
          <w:szCs w:val="32"/>
        </w:rPr>
        <w:t>的</w:t>
      </w:r>
      <w:r>
        <w:rPr>
          <w:rFonts w:ascii="仿宋" w:hAnsi="仿宋" w:eastAsia="仿宋" w:cs="Times New Roman"/>
          <w:sz w:val="32"/>
          <w:szCs w:val="32"/>
        </w:rPr>
        <w:t>估值使用本</w:t>
      </w:r>
      <w:r>
        <w:rPr>
          <w:rFonts w:hint="eastAsia" w:ascii="仿宋" w:hAnsi="仿宋" w:eastAsia="仿宋" w:cs="Times New Roman"/>
          <w:sz w:val="32"/>
          <w:szCs w:val="32"/>
        </w:rPr>
        <w:t>标准</w:t>
      </w:r>
      <w:r>
        <w:rPr>
          <w:rFonts w:ascii="仿宋" w:hAnsi="仿宋" w:eastAsia="仿宋" w:cs="Times New Roman"/>
          <w:sz w:val="32"/>
          <w:szCs w:val="32"/>
        </w:rPr>
        <w:t>。</w:t>
      </w:r>
    </w:p>
    <w:p>
      <w:pPr>
        <w:spacing w:line="560" w:lineRule="exact"/>
        <w:ind w:firstLine="642" w:firstLineChars="200"/>
        <w:rPr>
          <w:rFonts w:ascii="仿宋" w:hAnsi="仿宋" w:eastAsia="仿宋" w:cs="Times New Roman"/>
          <w:sz w:val="32"/>
          <w:szCs w:val="32"/>
        </w:rPr>
      </w:pPr>
      <w:r>
        <w:rPr>
          <w:rFonts w:hint="eastAsia" w:ascii="仿宋" w:hAnsi="仿宋" w:eastAsia="仿宋" w:cs="Times New Roman"/>
          <w:b/>
          <w:sz w:val="32"/>
          <w:szCs w:val="32"/>
        </w:rPr>
        <w:t>第四条</w:t>
      </w:r>
      <w:r>
        <w:rPr>
          <w:rFonts w:hint="eastAsia" w:ascii="仿宋" w:hAnsi="仿宋" w:eastAsia="仿宋" w:cs="Times New Roman"/>
          <w:sz w:val="32"/>
          <w:szCs w:val="32"/>
        </w:rPr>
        <w:t xml:space="preserve"> 基金管理人对基金投资的固定收益品种进行估值、计量信用减值，或托管人对其</w:t>
      </w:r>
      <w:r>
        <w:rPr>
          <w:rFonts w:ascii="仿宋" w:hAnsi="仿宋" w:eastAsia="仿宋" w:cs="Times New Roman"/>
          <w:sz w:val="32"/>
          <w:szCs w:val="32"/>
        </w:rPr>
        <w:t>进行复核时</w:t>
      </w:r>
      <w:r>
        <w:rPr>
          <w:rFonts w:hint="eastAsia" w:ascii="仿宋" w:hAnsi="仿宋" w:eastAsia="仿宋" w:cs="Times New Roman"/>
          <w:sz w:val="32"/>
          <w:szCs w:val="32"/>
        </w:rPr>
        <w:t>，按照本标准处理，但不能免除其作为估值责任人的相关责任。固定净值型货币市场基金按照本标准确定各债券投资品种的影子价格，并持续监控影子价格与按实际利率计算的账面价值之间的差异。</w:t>
      </w:r>
    </w:p>
    <w:p>
      <w:pPr>
        <w:spacing w:line="560" w:lineRule="exact"/>
        <w:ind w:firstLine="642" w:firstLineChars="200"/>
        <w:rPr>
          <w:rFonts w:ascii="仿宋" w:hAnsi="仿宋" w:eastAsia="仿宋" w:cs="Times New Roman"/>
          <w:sz w:val="32"/>
          <w:szCs w:val="32"/>
        </w:rPr>
      </w:pPr>
      <w:r>
        <w:rPr>
          <w:rFonts w:hint="eastAsia" w:ascii="仿宋" w:hAnsi="仿宋" w:eastAsia="仿宋" w:cs="Times New Roman"/>
          <w:b/>
          <w:sz w:val="32"/>
          <w:szCs w:val="32"/>
        </w:rPr>
        <w:t>第五条</w:t>
      </w:r>
      <w:bookmarkStart w:id="1" w:name="OLE_LINK1"/>
      <w:r>
        <w:rPr>
          <w:rFonts w:hint="eastAsia" w:ascii="仿宋" w:hAnsi="仿宋" w:eastAsia="仿宋" w:cs="Times New Roman"/>
          <w:sz w:val="32"/>
          <w:szCs w:val="32"/>
        </w:rPr>
        <w:t xml:space="preserve"> 基金在对各类固定收益</w:t>
      </w:r>
      <w:r>
        <w:rPr>
          <w:rFonts w:ascii="仿宋" w:hAnsi="仿宋" w:eastAsia="仿宋" w:cs="Times New Roman"/>
          <w:sz w:val="32"/>
          <w:szCs w:val="32"/>
        </w:rPr>
        <w:t>品种</w:t>
      </w:r>
      <w:r>
        <w:rPr>
          <w:rFonts w:hint="eastAsia" w:ascii="仿宋" w:hAnsi="仿宋" w:eastAsia="仿宋" w:cs="Times New Roman"/>
          <w:sz w:val="32"/>
          <w:szCs w:val="32"/>
        </w:rPr>
        <w:t>进行估值、减值计量时，可依据由第三方估值基准服务机构提供的数据，但基金管理人应承担的估值责任不因其使用第三方估值基准服务机构提供的数据而免除。</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第三方估值基准服务机构须经过中国证券投资基金业协会（以下简称</w:t>
      </w:r>
      <w:r>
        <w:rPr>
          <w:rFonts w:ascii="仿宋" w:hAnsi="仿宋" w:eastAsia="仿宋" w:cs="Times New Roman"/>
          <w:sz w:val="32"/>
          <w:szCs w:val="32"/>
        </w:rPr>
        <w:t>基金业协会）</w:t>
      </w:r>
      <w:r>
        <w:rPr>
          <w:rFonts w:hint="eastAsia" w:ascii="仿宋" w:hAnsi="仿宋" w:eastAsia="仿宋" w:cs="Times New Roman"/>
          <w:sz w:val="32"/>
          <w:szCs w:val="32"/>
        </w:rPr>
        <w:t>委托</w:t>
      </w:r>
      <w:r>
        <w:rPr>
          <w:rFonts w:ascii="仿宋" w:hAnsi="仿宋" w:eastAsia="仿宋" w:cs="Times New Roman"/>
          <w:sz w:val="32"/>
          <w:szCs w:val="32"/>
        </w:rPr>
        <w:t>的</w:t>
      </w:r>
      <w:r>
        <w:rPr>
          <w:rFonts w:hint="eastAsia" w:ascii="仿宋" w:hAnsi="仿宋" w:eastAsia="仿宋" w:cs="Times New Roman"/>
          <w:sz w:val="32"/>
          <w:szCs w:val="32"/>
        </w:rPr>
        <w:t>行业专家评审，基金业协会官方网站对通过</w:t>
      </w:r>
      <w:r>
        <w:rPr>
          <w:rFonts w:ascii="仿宋" w:hAnsi="仿宋" w:eastAsia="仿宋" w:cs="Times New Roman"/>
          <w:sz w:val="32"/>
          <w:szCs w:val="32"/>
        </w:rPr>
        <w:t>评审</w:t>
      </w:r>
      <w:r>
        <w:rPr>
          <w:rFonts w:hint="eastAsia" w:ascii="仿宋" w:hAnsi="仿宋" w:eastAsia="仿宋" w:cs="Times New Roman"/>
          <w:sz w:val="32"/>
          <w:szCs w:val="32"/>
        </w:rPr>
        <w:t>的第三方估值基准服务机构展示相关信息。</w:t>
      </w:r>
      <w:bookmarkEnd w:id="1"/>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第三方估值基准服务机构应做好相关公开披露工作，披露内容不限于估值、减值计量原则、方法、模型及重要参数，披露方式不限于公司和基金业协会的官方网站。</w:t>
      </w:r>
    </w:p>
    <w:p>
      <w:pPr>
        <w:spacing w:line="560" w:lineRule="exact"/>
        <w:ind w:firstLine="642" w:firstLineChars="200"/>
        <w:rPr>
          <w:rFonts w:ascii="仿宋" w:hAnsi="仿宋" w:eastAsia="仿宋" w:cs="Times New Roman"/>
          <w:sz w:val="32"/>
          <w:szCs w:val="32"/>
        </w:rPr>
      </w:pPr>
      <w:r>
        <w:rPr>
          <w:rFonts w:hint="eastAsia" w:ascii="仿宋" w:hAnsi="仿宋" w:eastAsia="仿宋" w:cs="Times New Roman"/>
          <w:b/>
          <w:sz w:val="32"/>
          <w:szCs w:val="32"/>
        </w:rPr>
        <w:t>第六条</w:t>
      </w:r>
      <w:bookmarkStart w:id="2" w:name="OLE_LINK2"/>
      <w:r>
        <w:rPr>
          <w:rFonts w:hint="eastAsia" w:ascii="仿宋" w:hAnsi="仿宋" w:eastAsia="仿宋" w:cs="Times New Roman"/>
          <w:b/>
          <w:sz w:val="32"/>
          <w:szCs w:val="32"/>
        </w:rPr>
        <w:t xml:space="preserve"> </w:t>
      </w:r>
      <w:r>
        <w:rPr>
          <w:rFonts w:hint="eastAsia" w:ascii="仿宋" w:hAnsi="仿宋" w:eastAsia="仿宋" w:cs="Times New Roman"/>
          <w:sz w:val="32"/>
          <w:szCs w:val="32"/>
        </w:rPr>
        <w:t>基金管理人、第三方估值基准服务机构应根据以下原则确定固定收益品种的公允价值：</w:t>
      </w:r>
    </w:p>
    <w:p>
      <w:pPr>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1.</w:t>
      </w:r>
      <w:r>
        <w:rPr>
          <w:rFonts w:hint="eastAsia" w:ascii="仿宋" w:hAnsi="仿宋" w:eastAsia="仿宋" w:cs="Times New Roman"/>
          <w:sz w:val="32"/>
          <w:szCs w:val="32"/>
        </w:rPr>
        <w:t>对于存在活跃市场的固定收益品种，应以活跃市场上未经调整的报价作为计量日的公允价值。</w:t>
      </w:r>
    </w:p>
    <w:p>
      <w:pPr>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2.</w:t>
      </w:r>
      <w:r>
        <w:rPr>
          <w:rFonts w:hint="eastAsia" w:ascii="仿宋" w:hAnsi="仿宋" w:eastAsia="仿宋" w:cs="Times New Roman"/>
          <w:sz w:val="32"/>
          <w:szCs w:val="32"/>
        </w:rPr>
        <w:t>对于不存在市场活动或市场活动很少的固定收益品种，应采用当前情况下适用并且有足够可利用数据和其他信息支持的估值技术确定其公允价值。</w:t>
      </w:r>
    </w:p>
    <w:p>
      <w:pPr>
        <w:spacing w:line="560" w:lineRule="exact"/>
        <w:ind w:left="105" w:leftChars="50" w:firstLine="642" w:firstLineChars="200"/>
        <w:rPr>
          <w:rFonts w:ascii="仿宋" w:hAnsi="仿宋" w:eastAsia="仿宋" w:cs="Times New Roman"/>
          <w:sz w:val="32"/>
          <w:szCs w:val="32"/>
        </w:rPr>
      </w:pPr>
      <w:r>
        <w:rPr>
          <w:rFonts w:hint="eastAsia" w:ascii="仿宋" w:hAnsi="仿宋" w:eastAsia="仿宋" w:cs="Times New Roman"/>
          <w:b/>
          <w:sz w:val="32"/>
          <w:szCs w:val="32"/>
        </w:rPr>
        <w:t xml:space="preserve">第七条 </w:t>
      </w:r>
      <w:r>
        <w:rPr>
          <w:rFonts w:hint="eastAsia" w:ascii="仿宋" w:hAnsi="仿宋" w:eastAsia="仿宋" w:cs="Times New Roman"/>
          <w:sz w:val="32"/>
          <w:szCs w:val="32"/>
        </w:rPr>
        <w:t>对于发行人已破产、发行人未能按时足额偿付本金或利息，或者</w:t>
      </w:r>
      <w:r>
        <w:rPr>
          <w:rFonts w:ascii="仿宋" w:hAnsi="仿宋" w:eastAsia="仿宋" w:cs="Times New Roman"/>
          <w:sz w:val="32"/>
          <w:szCs w:val="32"/>
        </w:rPr>
        <w:t>有</w:t>
      </w:r>
      <w:r>
        <w:rPr>
          <w:rFonts w:hint="eastAsia" w:ascii="仿宋" w:hAnsi="仿宋" w:eastAsia="仿宋" w:cs="Times New Roman"/>
          <w:sz w:val="32"/>
          <w:szCs w:val="32"/>
        </w:rPr>
        <w:t>其它</w:t>
      </w:r>
      <w:r>
        <w:rPr>
          <w:rFonts w:ascii="仿宋" w:hAnsi="仿宋" w:eastAsia="仿宋" w:cs="Times New Roman"/>
          <w:sz w:val="32"/>
          <w:szCs w:val="32"/>
        </w:rPr>
        <w:t>可靠信息表明本金或利息无法按时足额</w:t>
      </w:r>
      <w:r>
        <w:rPr>
          <w:rFonts w:hint="eastAsia" w:ascii="仿宋" w:hAnsi="仿宋" w:eastAsia="仿宋" w:cs="Times New Roman"/>
          <w:sz w:val="32"/>
          <w:szCs w:val="32"/>
        </w:rPr>
        <w:t>偿付</w:t>
      </w:r>
      <w:r>
        <w:rPr>
          <w:rFonts w:ascii="仿宋" w:hAnsi="仿宋" w:eastAsia="仿宋" w:cs="Times New Roman"/>
          <w:sz w:val="32"/>
          <w:szCs w:val="32"/>
        </w:rPr>
        <w:t>的</w:t>
      </w:r>
      <w:r>
        <w:rPr>
          <w:rFonts w:hint="eastAsia" w:ascii="仿宋" w:hAnsi="仿宋" w:eastAsia="仿宋" w:cs="Times New Roman"/>
          <w:sz w:val="32"/>
          <w:szCs w:val="32"/>
        </w:rPr>
        <w:t>债券投资品种</w:t>
      </w:r>
      <w:r>
        <w:rPr>
          <w:rFonts w:ascii="仿宋" w:hAnsi="仿宋" w:eastAsia="仿宋" w:cs="Times New Roman"/>
          <w:sz w:val="32"/>
          <w:szCs w:val="32"/>
        </w:rPr>
        <w:t>，</w:t>
      </w:r>
      <w:r>
        <w:rPr>
          <w:rFonts w:hint="eastAsia" w:ascii="仿宋" w:hAnsi="仿宋" w:eastAsia="仿宋" w:cs="Times New Roman"/>
          <w:sz w:val="32"/>
          <w:szCs w:val="32"/>
        </w:rPr>
        <w:t>第三方估值基准服务机构可在</w:t>
      </w:r>
      <w:r>
        <w:rPr>
          <w:rFonts w:ascii="仿宋" w:hAnsi="仿宋" w:eastAsia="仿宋" w:cs="Times New Roman"/>
          <w:sz w:val="32"/>
          <w:szCs w:val="32"/>
        </w:rPr>
        <w:t>提供</w:t>
      </w:r>
      <w:r>
        <w:rPr>
          <w:rFonts w:hint="eastAsia" w:ascii="仿宋" w:hAnsi="仿宋" w:eastAsia="仿宋" w:cs="Times New Roman"/>
          <w:sz w:val="32"/>
          <w:szCs w:val="32"/>
        </w:rPr>
        <w:t>推荐价格的同时提供价格区间作为公允价值的参考范围以及公允价值存在重大不确定性的相关提示。</w:t>
      </w:r>
      <w:r>
        <w:rPr>
          <w:rFonts w:ascii="仿宋" w:hAnsi="仿宋" w:eastAsia="仿宋" w:cs="Times New Roman"/>
          <w:sz w:val="32"/>
          <w:szCs w:val="32"/>
        </w:rPr>
        <w:t>基金管理人在</w:t>
      </w:r>
      <w:r>
        <w:rPr>
          <w:rFonts w:hint="eastAsia" w:ascii="仿宋" w:hAnsi="仿宋" w:eastAsia="仿宋" w:cs="Times New Roman"/>
          <w:sz w:val="32"/>
          <w:szCs w:val="32"/>
        </w:rPr>
        <w:t>与</w:t>
      </w:r>
      <w:r>
        <w:rPr>
          <w:rFonts w:ascii="仿宋" w:hAnsi="仿宋" w:eastAsia="仿宋" w:cs="Times New Roman"/>
          <w:sz w:val="32"/>
          <w:szCs w:val="32"/>
        </w:rPr>
        <w:t>托管人</w:t>
      </w:r>
      <w:r>
        <w:rPr>
          <w:rFonts w:hint="eastAsia" w:ascii="仿宋" w:hAnsi="仿宋" w:eastAsia="仿宋" w:cs="Times New Roman"/>
          <w:sz w:val="32"/>
          <w:szCs w:val="32"/>
        </w:rPr>
        <w:t>协商一致</w:t>
      </w:r>
      <w:r>
        <w:rPr>
          <w:rFonts w:ascii="仿宋" w:hAnsi="仿宋" w:eastAsia="仿宋" w:cs="Times New Roman"/>
          <w:sz w:val="32"/>
          <w:szCs w:val="32"/>
        </w:rPr>
        <w:t>后，可采用</w:t>
      </w:r>
      <w:r>
        <w:rPr>
          <w:rFonts w:hint="eastAsia" w:ascii="仿宋" w:hAnsi="仿宋" w:eastAsia="仿宋" w:cs="Times New Roman"/>
          <w:sz w:val="32"/>
          <w:szCs w:val="32"/>
        </w:rPr>
        <w:t>价格区间</w:t>
      </w:r>
      <w:r>
        <w:rPr>
          <w:rFonts w:ascii="仿宋" w:hAnsi="仿宋" w:eastAsia="仿宋" w:cs="Times New Roman"/>
          <w:sz w:val="32"/>
          <w:szCs w:val="32"/>
        </w:rPr>
        <w:t>中</w:t>
      </w:r>
      <w:r>
        <w:rPr>
          <w:rFonts w:hint="eastAsia" w:ascii="仿宋" w:hAnsi="仿宋" w:eastAsia="仿宋" w:cs="Times New Roman"/>
          <w:sz w:val="32"/>
          <w:szCs w:val="32"/>
        </w:rPr>
        <w:t>的</w:t>
      </w:r>
      <w:r>
        <w:rPr>
          <w:rFonts w:ascii="仿宋" w:hAnsi="仿宋" w:eastAsia="仿宋" w:cs="Times New Roman"/>
          <w:sz w:val="32"/>
          <w:szCs w:val="32"/>
        </w:rPr>
        <w:t>数据</w:t>
      </w:r>
      <w:r>
        <w:rPr>
          <w:rFonts w:hint="eastAsia" w:ascii="仿宋" w:hAnsi="仿宋" w:eastAsia="仿宋" w:cs="Times New Roman"/>
          <w:sz w:val="32"/>
          <w:szCs w:val="32"/>
        </w:rPr>
        <w:t>作为该债券投资品种的</w:t>
      </w:r>
      <w:r>
        <w:rPr>
          <w:rFonts w:ascii="仿宋" w:hAnsi="仿宋" w:eastAsia="仿宋" w:cs="Times New Roman"/>
          <w:sz w:val="32"/>
          <w:szCs w:val="32"/>
        </w:rPr>
        <w:t>公允价值。</w:t>
      </w:r>
    </w:p>
    <w:p>
      <w:pPr>
        <w:spacing w:line="560" w:lineRule="exact"/>
        <w:ind w:firstLine="642" w:firstLineChars="200"/>
        <w:rPr>
          <w:rFonts w:ascii="仿宋" w:hAnsi="仿宋" w:eastAsia="仿宋" w:cs="Times New Roman"/>
          <w:sz w:val="32"/>
          <w:szCs w:val="32"/>
        </w:rPr>
      </w:pPr>
      <w:r>
        <w:rPr>
          <w:rFonts w:hint="eastAsia" w:ascii="仿宋" w:hAnsi="仿宋" w:eastAsia="仿宋" w:cs="Times New Roman"/>
          <w:b/>
          <w:sz w:val="32"/>
          <w:szCs w:val="32"/>
        </w:rPr>
        <w:t xml:space="preserve">第八条 </w:t>
      </w:r>
      <w:r>
        <w:rPr>
          <w:rFonts w:hint="eastAsia" w:ascii="仿宋" w:hAnsi="仿宋" w:eastAsia="仿宋" w:cs="Times New Roman"/>
          <w:sz w:val="32"/>
          <w:szCs w:val="32"/>
        </w:rPr>
        <w:t>在计算预期信用损失时，基金管理人、第三方估值基准服务机构需结合历史经济情况，考虑投资组合的历史损失情况，设计多个未来经济场景可能面临的情况，对于多个经济场景下的宏观经济指标进行预测，并且根据各个经济场景的发生可能性设置相应权重。基金管理人可以根据固定收益品种所在阶段，对多个场景下所计量的预期信用损失进行场景加权平均，计算得出无偏概率加权平均金额，作为固定收益品种减值的计量结果。</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第三方估值基准服务机构需定期向其用户公布其在计算预期信用损失时所采用的估计技术、关键假设和参数等相关信息，并重点公布其所预测的未来经济场景及各场景下的预测值、相应权重等。自建模型</w:t>
      </w:r>
      <w:r>
        <w:rPr>
          <w:rFonts w:ascii="仿宋" w:hAnsi="仿宋" w:eastAsia="仿宋" w:cs="Times New Roman"/>
          <w:sz w:val="32"/>
          <w:szCs w:val="32"/>
        </w:rPr>
        <w:t>计算预期信用损失的</w:t>
      </w:r>
      <w:r>
        <w:rPr>
          <w:rFonts w:hint="eastAsia" w:ascii="仿宋" w:hAnsi="仿宋" w:eastAsia="仿宋" w:cs="Times New Roman"/>
          <w:sz w:val="32"/>
          <w:szCs w:val="32"/>
        </w:rPr>
        <w:t>基金管理人需在基金年度报告中向投资者公布其在计算预期信用损失时所采用的估计技术、关键假设和参数等相关信息，并重点披露所预测的未来经济场景及各场景下的预测值、相应权重、管理层“叠加”调整的影响等。</w:t>
      </w:r>
    </w:p>
    <w:bookmarkEnd w:id="2"/>
    <w:p>
      <w:pPr>
        <w:spacing w:line="560" w:lineRule="exact"/>
        <w:ind w:firstLine="642" w:firstLineChars="200"/>
        <w:rPr>
          <w:rFonts w:ascii="仿宋" w:hAnsi="仿宋" w:eastAsia="仿宋" w:cs="Times New Roman"/>
          <w:sz w:val="32"/>
          <w:szCs w:val="32"/>
        </w:rPr>
      </w:pPr>
      <w:r>
        <w:rPr>
          <w:rFonts w:hint="eastAsia" w:ascii="仿宋" w:hAnsi="仿宋" w:eastAsia="仿宋" w:cs="Times New Roman"/>
          <w:b/>
          <w:sz w:val="32"/>
          <w:szCs w:val="32"/>
        </w:rPr>
        <w:t xml:space="preserve">第九条 </w:t>
      </w:r>
      <w:r>
        <w:rPr>
          <w:rFonts w:hint="eastAsia" w:ascii="仿宋" w:hAnsi="仿宋" w:eastAsia="仿宋" w:cs="Times New Roman"/>
          <w:sz w:val="32"/>
          <w:szCs w:val="32"/>
        </w:rPr>
        <w:t>基金管理人应当建立并不断健全估值委员会机制，估值委员会需配备投资、研究、会计和风控等岗位资深人员。基金管理人应审慎开展基金估值，切实履行主体责任，当基金组合资产出现信用风险或流动性缺失时，基金管理人不能简单依赖第三方估值基准服务机构提供的数据，应当召开估值委员会会议讨论确定公允价值或预期信用损失计量结果，在基金份额净值中及时、</w:t>
      </w:r>
      <w:r>
        <w:rPr>
          <w:rFonts w:ascii="仿宋" w:hAnsi="仿宋" w:eastAsia="仿宋" w:cs="Times New Roman"/>
          <w:sz w:val="32"/>
          <w:szCs w:val="32"/>
        </w:rPr>
        <w:t>合理</w:t>
      </w:r>
      <w:r>
        <w:rPr>
          <w:rFonts w:hint="eastAsia" w:ascii="仿宋" w:hAnsi="仿宋" w:eastAsia="仿宋" w:cs="Times New Roman"/>
          <w:sz w:val="32"/>
          <w:szCs w:val="32"/>
        </w:rPr>
        <w:t>体现相关影响。</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基金托管人应当评估基金管理人采用的估值方法并复核估值结果，避免造成</w:t>
      </w:r>
      <w:r>
        <w:rPr>
          <w:rFonts w:ascii="仿宋" w:hAnsi="仿宋" w:eastAsia="仿宋" w:cs="Times New Roman"/>
          <w:sz w:val="32"/>
          <w:szCs w:val="32"/>
        </w:rPr>
        <w:t>因</w:t>
      </w:r>
      <w:r>
        <w:rPr>
          <w:rFonts w:hint="eastAsia" w:ascii="仿宋" w:hAnsi="仿宋" w:eastAsia="仿宋" w:cs="Times New Roman"/>
          <w:sz w:val="32"/>
          <w:szCs w:val="32"/>
        </w:rPr>
        <w:t>估值结果不公允导致投资者，特别是中小投资者的合法权益受到损害的</w:t>
      </w:r>
      <w:r>
        <w:rPr>
          <w:rFonts w:ascii="仿宋" w:hAnsi="仿宋" w:eastAsia="仿宋" w:cs="Times New Roman"/>
          <w:sz w:val="32"/>
          <w:szCs w:val="32"/>
        </w:rPr>
        <w:t>情况</w:t>
      </w:r>
      <w:r>
        <w:rPr>
          <w:rFonts w:hint="eastAsia" w:ascii="仿宋" w:hAnsi="仿宋" w:eastAsia="仿宋" w:cs="Times New Roman"/>
          <w:sz w:val="32"/>
          <w:szCs w:val="32"/>
        </w:rPr>
        <w:t>。</w:t>
      </w:r>
    </w:p>
    <w:p>
      <w:pPr>
        <w:spacing w:line="560" w:lineRule="exact"/>
        <w:ind w:firstLine="642" w:firstLineChars="200"/>
        <w:rPr>
          <w:rFonts w:ascii="仿宋" w:hAnsi="仿宋" w:eastAsia="仿宋" w:cs="Times New Roman"/>
          <w:sz w:val="32"/>
          <w:szCs w:val="32"/>
        </w:rPr>
      </w:pPr>
      <w:r>
        <w:rPr>
          <w:rFonts w:hint="eastAsia" w:ascii="仿宋" w:hAnsi="仿宋" w:eastAsia="仿宋" w:cs="Times New Roman"/>
          <w:b/>
          <w:sz w:val="32"/>
          <w:szCs w:val="32"/>
        </w:rPr>
        <w:t>第十条</w:t>
      </w:r>
      <w:r>
        <w:rPr>
          <w:rFonts w:hint="eastAsia" w:ascii="仿宋" w:hAnsi="仿宋" w:eastAsia="仿宋" w:cs="Times New Roman"/>
          <w:sz w:val="32"/>
          <w:szCs w:val="32"/>
        </w:rPr>
        <w:t xml:space="preserve"> 在市场流动性风险、资金环境等发生较大变化、个券的估值因素发生较大变化或出现创新品种等情况下，协会估值工作小组将召开临时工作会议，调整或补充估值处理标准。</w:t>
      </w:r>
    </w:p>
    <w:p>
      <w:pPr>
        <w:pStyle w:val="2"/>
        <w:jc w:val="center"/>
        <w:rPr>
          <w:rFonts w:hint="eastAsia" w:ascii="黑体" w:hAnsi="黑体" w:eastAsia="黑体" w:cs="黑体"/>
          <w:b w:val="0"/>
          <w:bCs w:val="0"/>
          <w:sz w:val="32"/>
          <w:szCs w:val="32"/>
        </w:rPr>
      </w:pPr>
      <w:bookmarkStart w:id="3" w:name="_Toc89854426"/>
      <w:r>
        <w:rPr>
          <w:rFonts w:hint="eastAsia" w:ascii="黑体" w:hAnsi="黑体" w:eastAsia="黑体" w:cs="黑体"/>
          <w:b w:val="0"/>
          <w:bCs w:val="0"/>
          <w:sz w:val="32"/>
          <w:szCs w:val="32"/>
        </w:rPr>
        <w:t>二、以公允价值计量的固定收益品种估值处理标准</w:t>
      </w:r>
      <w:bookmarkEnd w:id="3"/>
    </w:p>
    <w:p>
      <w:pPr>
        <w:spacing w:line="560" w:lineRule="exact"/>
        <w:ind w:firstLine="642" w:firstLineChars="200"/>
        <w:rPr>
          <w:rFonts w:ascii="仿宋" w:hAnsi="仿宋" w:eastAsia="仿宋" w:cs="Times New Roman"/>
          <w:sz w:val="32"/>
          <w:szCs w:val="32"/>
        </w:rPr>
      </w:pPr>
      <w:r>
        <w:rPr>
          <w:rFonts w:hint="eastAsia" w:ascii="仿宋" w:hAnsi="仿宋" w:eastAsia="仿宋" w:cs="Times New Roman"/>
          <w:b/>
          <w:sz w:val="32"/>
          <w:szCs w:val="32"/>
        </w:rPr>
        <w:t xml:space="preserve">第十一条 </w:t>
      </w:r>
      <w:r>
        <w:rPr>
          <w:rFonts w:hint="eastAsia" w:ascii="仿宋" w:hAnsi="仿宋" w:eastAsia="仿宋" w:cs="Times New Roman"/>
          <w:sz w:val="32"/>
          <w:szCs w:val="32"/>
        </w:rPr>
        <w:t>对于已上市或已挂牌转让的不含权固定收益品种（本标准另有规定的除外），建议选取第三方估值基准服务机构提供的相应品种当日的估值全价，基金管理人应根据相关法律、法规的规定进行涉税处理（下同</w:t>
      </w:r>
      <w:r>
        <w:rPr>
          <w:rFonts w:ascii="仿宋" w:hAnsi="仿宋" w:eastAsia="仿宋" w:cs="Times New Roman"/>
          <w:sz w:val="32"/>
          <w:szCs w:val="32"/>
        </w:rPr>
        <w:t>）</w:t>
      </w:r>
      <w:r>
        <w:rPr>
          <w:rFonts w:hint="eastAsia" w:ascii="仿宋" w:hAnsi="仿宋" w:eastAsia="仿宋" w:cs="Times New Roman"/>
          <w:sz w:val="32"/>
          <w:szCs w:val="32"/>
        </w:rPr>
        <w:t>。</w:t>
      </w:r>
    </w:p>
    <w:p>
      <w:pPr>
        <w:spacing w:line="560" w:lineRule="exact"/>
        <w:ind w:firstLine="642" w:firstLineChars="200"/>
        <w:rPr>
          <w:rFonts w:ascii="仿宋" w:hAnsi="仿宋" w:eastAsia="仿宋" w:cs="Times New Roman"/>
          <w:sz w:val="32"/>
          <w:szCs w:val="32"/>
        </w:rPr>
      </w:pPr>
      <w:r>
        <w:rPr>
          <w:rFonts w:hint="eastAsia" w:ascii="仿宋" w:hAnsi="仿宋" w:eastAsia="仿宋" w:cs="Times New Roman"/>
          <w:b/>
          <w:sz w:val="32"/>
          <w:szCs w:val="32"/>
        </w:rPr>
        <w:t xml:space="preserve">第十二条 </w:t>
      </w:r>
      <w:r>
        <w:rPr>
          <w:rFonts w:hint="eastAsia" w:ascii="仿宋" w:hAnsi="仿宋" w:eastAsia="仿宋" w:cs="Times New Roman"/>
          <w:sz w:val="32"/>
          <w:szCs w:val="32"/>
        </w:rPr>
        <w:t>对于已上市或已挂牌转让的含权固定收益品种（本标准另有规定的除外），建议选取第三方估值基准服务机构提供的相应品种当日的唯一估值全价或推荐估值全价。</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对于含投资者回售权的固定收益品种，行使回售权的，在回售登记日至实际收款日期间建议选取第三方估值基准服务机构提供的相应品种的唯一估值全价或推荐估值全价，</w:t>
      </w:r>
      <w:r>
        <w:rPr>
          <w:rFonts w:ascii="仿宋" w:hAnsi="仿宋" w:eastAsia="仿宋" w:cs="Times New Roman"/>
          <w:sz w:val="32"/>
          <w:szCs w:val="32"/>
        </w:rPr>
        <w:t>同时应充分考虑发行人的信用风险变化对公允价值的影响。</w:t>
      </w:r>
      <w:r>
        <w:rPr>
          <w:rFonts w:hint="eastAsia" w:ascii="仿宋" w:hAnsi="仿宋" w:eastAsia="仿宋" w:cs="Times New Roman"/>
          <w:sz w:val="32"/>
          <w:szCs w:val="32"/>
        </w:rPr>
        <w:t>回售登记期截止日（含当日）后未行使回售权的建议按照长待偿期所对应的价格进行估值。</w:t>
      </w:r>
    </w:p>
    <w:p>
      <w:pPr>
        <w:spacing w:line="560" w:lineRule="exact"/>
        <w:ind w:firstLine="642" w:firstLineChars="200"/>
        <w:rPr>
          <w:rFonts w:ascii="仿宋" w:hAnsi="仿宋" w:eastAsia="仿宋" w:cs="Times New Roman"/>
          <w:sz w:val="32"/>
          <w:szCs w:val="32"/>
        </w:rPr>
      </w:pPr>
      <w:r>
        <w:rPr>
          <w:rFonts w:hint="eastAsia" w:ascii="仿宋" w:hAnsi="仿宋" w:eastAsia="仿宋" w:cs="Times New Roman"/>
          <w:b/>
          <w:sz w:val="32"/>
          <w:szCs w:val="32"/>
        </w:rPr>
        <w:t>第十三条</w:t>
      </w:r>
      <w:r>
        <w:rPr>
          <w:rFonts w:hint="eastAsia" w:ascii="仿宋" w:hAnsi="仿宋" w:eastAsia="仿宋" w:cs="Times New Roman"/>
          <w:sz w:val="32"/>
          <w:szCs w:val="32"/>
        </w:rPr>
        <w:t xml:space="preserve"> 对于在交易所市场上市交易的公开发行的可转换债券等有活跃市场的含转股权的债券，实行全价交易的债券建议选取估值日收盘价作为估值全价；实行净价交易的债券建议选取估值日收盘价并加计每百元税前应计利息作为估值全价。</w:t>
      </w:r>
    </w:p>
    <w:p>
      <w:pPr>
        <w:spacing w:line="560" w:lineRule="exact"/>
        <w:ind w:firstLine="642" w:firstLineChars="200"/>
        <w:rPr>
          <w:rFonts w:ascii="仿宋" w:hAnsi="仿宋" w:eastAsia="仿宋" w:cs="Times New Roman"/>
          <w:sz w:val="32"/>
          <w:szCs w:val="32"/>
        </w:rPr>
      </w:pPr>
      <w:r>
        <w:rPr>
          <w:rFonts w:hint="eastAsia" w:ascii="仿宋" w:hAnsi="仿宋" w:eastAsia="仿宋" w:cs="Times New Roman"/>
          <w:b/>
          <w:sz w:val="32"/>
          <w:szCs w:val="32"/>
        </w:rPr>
        <w:t xml:space="preserve">第十四条 </w:t>
      </w:r>
      <w:r>
        <w:rPr>
          <w:rFonts w:hint="eastAsia" w:ascii="仿宋" w:hAnsi="仿宋" w:eastAsia="仿宋" w:cs="Times New Roman"/>
          <w:sz w:val="32"/>
          <w:szCs w:val="32"/>
        </w:rPr>
        <w:t>对于未上市或未挂牌转让且不存在活跃市场的固定收益品种，应采用在当前情况下适用并且有足够可利用数据和其他信息支持的估值技术确定其公允价值。</w:t>
      </w:r>
    </w:p>
    <w:p>
      <w:pPr>
        <w:pStyle w:val="2"/>
        <w:jc w:val="center"/>
        <w:rPr>
          <w:rFonts w:hint="eastAsia" w:ascii="黑体" w:hAnsi="黑体" w:eastAsia="黑体" w:cs="黑体"/>
          <w:b w:val="0"/>
          <w:bCs w:val="0"/>
          <w:sz w:val="32"/>
          <w:szCs w:val="32"/>
        </w:rPr>
      </w:pPr>
      <w:bookmarkStart w:id="4" w:name="_Toc89854427"/>
      <w:r>
        <w:rPr>
          <w:rFonts w:hint="eastAsia" w:ascii="黑体" w:hAnsi="黑体" w:eastAsia="黑体" w:cs="黑体"/>
          <w:b w:val="0"/>
          <w:bCs w:val="0"/>
          <w:sz w:val="32"/>
          <w:szCs w:val="32"/>
        </w:rPr>
        <w:t>三、以摊余成本计量的固定收益品种减值处理标准</w:t>
      </w:r>
      <w:bookmarkEnd w:id="4"/>
    </w:p>
    <w:p>
      <w:pPr>
        <w:spacing w:line="560" w:lineRule="exact"/>
        <w:ind w:firstLine="642" w:firstLineChars="200"/>
        <w:rPr>
          <w:rFonts w:ascii="仿宋" w:hAnsi="仿宋" w:eastAsia="仿宋" w:cs="Times New Roman"/>
          <w:sz w:val="32"/>
          <w:szCs w:val="32"/>
        </w:rPr>
      </w:pPr>
      <w:r>
        <w:rPr>
          <w:rFonts w:hint="eastAsia" w:ascii="仿宋" w:hAnsi="仿宋" w:eastAsia="仿宋" w:cs="Times New Roman"/>
          <w:b/>
          <w:sz w:val="32"/>
          <w:szCs w:val="32"/>
        </w:rPr>
        <w:t xml:space="preserve">第十五条 </w:t>
      </w:r>
      <w:r>
        <w:rPr>
          <w:rFonts w:hint="eastAsia" w:ascii="仿宋" w:hAnsi="仿宋" w:eastAsia="仿宋" w:cs="Times New Roman"/>
          <w:sz w:val="32"/>
          <w:szCs w:val="32"/>
        </w:rPr>
        <w:t>基金管理人可以选择使用自建或由第三方估值基准服务机构提供的预期信用损失模型参数或减值计量结果。托管人</w:t>
      </w:r>
      <w:r>
        <w:rPr>
          <w:rFonts w:ascii="仿宋" w:hAnsi="仿宋" w:eastAsia="仿宋" w:cs="Times New Roman"/>
          <w:sz w:val="32"/>
          <w:szCs w:val="32"/>
        </w:rPr>
        <w:t>应对</w:t>
      </w:r>
      <w:r>
        <w:rPr>
          <w:rFonts w:hint="eastAsia" w:ascii="仿宋" w:hAnsi="仿宋" w:eastAsia="仿宋" w:cs="Times New Roman"/>
          <w:sz w:val="32"/>
          <w:szCs w:val="32"/>
        </w:rPr>
        <w:t>基金管理人自建</w:t>
      </w:r>
      <w:r>
        <w:rPr>
          <w:rFonts w:ascii="仿宋" w:hAnsi="仿宋" w:eastAsia="仿宋" w:cs="Times New Roman"/>
          <w:sz w:val="32"/>
          <w:szCs w:val="32"/>
        </w:rPr>
        <w:t>的</w:t>
      </w:r>
      <w:r>
        <w:rPr>
          <w:rFonts w:hint="eastAsia" w:ascii="仿宋" w:hAnsi="仿宋" w:eastAsia="仿宋" w:cs="Times New Roman"/>
          <w:sz w:val="32"/>
          <w:szCs w:val="32"/>
        </w:rPr>
        <w:t>预期信用损失模型的合理性进行评估，基金管理人应定期评估其自建的预期信用损失模型。</w:t>
      </w:r>
    </w:p>
    <w:p>
      <w:pPr>
        <w:spacing w:line="560" w:lineRule="exact"/>
        <w:ind w:firstLine="640" w:firstLineChars="200"/>
        <w:rPr>
          <w:rFonts w:ascii="仿宋" w:hAnsi="仿宋" w:eastAsia="仿宋" w:cs="Times New Roman"/>
          <w:b/>
          <w:sz w:val="32"/>
          <w:szCs w:val="32"/>
        </w:rPr>
      </w:pPr>
      <w:r>
        <w:rPr>
          <w:rFonts w:hint="eastAsia" w:ascii="仿宋" w:hAnsi="仿宋" w:eastAsia="仿宋" w:cs="Times New Roman"/>
          <w:sz w:val="32"/>
          <w:szCs w:val="32"/>
        </w:rPr>
        <w:t>基金管理人须充分了解所使用的减值方法及前瞻场景假设，对相应的预期信用损失模型的方法进行验证，以确保所使用的预期信用损失模型可以有效反映金融资产的信用风险状况。</w:t>
      </w:r>
    </w:p>
    <w:p>
      <w:pPr>
        <w:spacing w:line="560" w:lineRule="exact"/>
        <w:ind w:firstLine="642" w:firstLineChars="200"/>
        <w:rPr>
          <w:rFonts w:ascii="仿宋" w:hAnsi="仿宋" w:eastAsia="仿宋" w:cs="Times New Roman"/>
          <w:sz w:val="32"/>
          <w:szCs w:val="32"/>
        </w:rPr>
      </w:pPr>
      <w:r>
        <w:rPr>
          <w:rFonts w:hint="eastAsia" w:ascii="仿宋" w:hAnsi="仿宋" w:eastAsia="仿宋" w:cs="Times New Roman"/>
          <w:b/>
          <w:sz w:val="32"/>
          <w:szCs w:val="32"/>
        </w:rPr>
        <w:t xml:space="preserve">第十六条 </w:t>
      </w:r>
      <w:r>
        <w:rPr>
          <w:rFonts w:hint="eastAsia" w:ascii="仿宋" w:hAnsi="仿宋" w:eastAsia="仿宋" w:cs="Times New Roman"/>
          <w:sz w:val="32"/>
          <w:szCs w:val="32"/>
        </w:rPr>
        <w:t>对于以摊余成本计量的固定收益品种，基金管理人应结合内部信用评级和外部信用评级形成评级结果，进行信用损失三阶段模型的认定。外部信用评级包括且不限于信用评级机构发布的主体评级和债项评级、第三方估值基准服务机构发布的隐含评级。</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基金管理人应当持续评估信用风险等级变化、违约概率相对变化以及信用利差变化等要素，基于证券购入时点与基金估值日的信用风险的相对变化，确定固定收益品种所处阶段。</w:t>
      </w:r>
    </w:p>
    <w:p>
      <w:pPr>
        <w:spacing w:line="560" w:lineRule="exact"/>
        <w:ind w:firstLine="642" w:firstLineChars="200"/>
        <w:rPr>
          <w:rFonts w:ascii="仿宋" w:hAnsi="仿宋" w:eastAsia="仿宋" w:cs="Times New Roman"/>
          <w:sz w:val="32"/>
          <w:szCs w:val="32"/>
        </w:rPr>
      </w:pPr>
      <w:r>
        <w:rPr>
          <w:rFonts w:hint="eastAsia" w:ascii="仿宋" w:hAnsi="仿宋" w:eastAsia="仿宋" w:cs="Times New Roman"/>
          <w:b/>
          <w:sz w:val="32"/>
          <w:szCs w:val="32"/>
        </w:rPr>
        <w:t xml:space="preserve">第十七条 </w:t>
      </w:r>
      <w:r>
        <w:rPr>
          <w:rFonts w:hint="eastAsia" w:ascii="仿宋" w:hAnsi="仿宋" w:eastAsia="仿宋" w:cs="Times New Roman"/>
          <w:sz w:val="32"/>
          <w:szCs w:val="32"/>
        </w:rPr>
        <w:t>对于基金持有的以摊余成本计量的固定收益品种，若评估后认为在估值日只具有较低信用风险（如</w:t>
      </w:r>
      <w:r>
        <w:rPr>
          <w:rFonts w:ascii="仿宋" w:hAnsi="仿宋" w:eastAsia="仿宋" w:cs="Times New Roman"/>
          <w:sz w:val="32"/>
          <w:szCs w:val="32"/>
        </w:rPr>
        <w:t>信用等级属于投资级）</w:t>
      </w:r>
      <w:r>
        <w:rPr>
          <w:rFonts w:hint="eastAsia" w:ascii="仿宋" w:hAnsi="仿宋" w:eastAsia="仿宋" w:cs="Times New Roman"/>
          <w:sz w:val="32"/>
          <w:szCs w:val="32"/>
        </w:rPr>
        <w:t>，或者信用等级虽较低（如</w:t>
      </w:r>
      <w:r>
        <w:rPr>
          <w:rFonts w:ascii="仿宋" w:hAnsi="仿宋" w:eastAsia="仿宋" w:cs="Times New Roman"/>
          <w:sz w:val="32"/>
          <w:szCs w:val="32"/>
        </w:rPr>
        <w:t>信用等级属于投机级）</w:t>
      </w:r>
      <w:r>
        <w:rPr>
          <w:rFonts w:hint="eastAsia" w:ascii="仿宋" w:hAnsi="仿宋" w:eastAsia="仿宋" w:cs="Times New Roman"/>
          <w:sz w:val="32"/>
          <w:szCs w:val="32"/>
        </w:rPr>
        <w:t>但自初始购入日起未发生信用风险显著上升迹象的（如</w:t>
      </w:r>
      <w:r>
        <w:rPr>
          <w:rFonts w:ascii="仿宋" w:hAnsi="仿宋" w:eastAsia="仿宋" w:cs="Times New Roman"/>
          <w:sz w:val="32"/>
          <w:szCs w:val="32"/>
        </w:rPr>
        <w:t>信用等级的向下调整）</w:t>
      </w:r>
      <w:r>
        <w:rPr>
          <w:rFonts w:hint="eastAsia" w:ascii="仿宋" w:hAnsi="仿宋" w:eastAsia="仿宋" w:cs="Times New Roman"/>
          <w:sz w:val="32"/>
          <w:szCs w:val="32"/>
        </w:rPr>
        <w:t>，可以直接采用第一阶段的预期信用损失率确定预期信用损失准备金额。若当日信用等级较低（如</w:t>
      </w:r>
      <w:r>
        <w:rPr>
          <w:rFonts w:ascii="仿宋" w:hAnsi="仿宋" w:eastAsia="仿宋" w:cs="Times New Roman"/>
          <w:sz w:val="32"/>
          <w:szCs w:val="32"/>
        </w:rPr>
        <w:t>信用等级属于投机级）</w:t>
      </w:r>
      <w:r>
        <w:rPr>
          <w:rFonts w:hint="eastAsia" w:ascii="仿宋" w:hAnsi="仿宋" w:eastAsia="仿宋" w:cs="Times New Roman"/>
          <w:sz w:val="32"/>
          <w:szCs w:val="32"/>
        </w:rPr>
        <w:t>，且自初始购入日起曾发生信用风险显著上升迹象的（如</w:t>
      </w:r>
      <w:r>
        <w:rPr>
          <w:rFonts w:ascii="仿宋" w:hAnsi="仿宋" w:eastAsia="仿宋" w:cs="Times New Roman"/>
          <w:sz w:val="32"/>
          <w:szCs w:val="32"/>
        </w:rPr>
        <w:t>信用等级的向下调整）</w:t>
      </w:r>
      <w:r>
        <w:rPr>
          <w:rFonts w:hint="eastAsia" w:ascii="仿宋" w:hAnsi="仿宋" w:eastAsia="仿宋" w:cs="Times New Roman"/>
          <w:sz w:val="32"/>
          <w:szCs w:val="32"/>
        </w:rPr>
        <w:t>，一般情况下可以直接采用第二阶段的预期信用损失率确定预期信用损失金额。</w:t>
      </w:r>
    </w:p>
    <w:p>
      <w:pPr>
        <w:spacing w:line="560" w:lineRule="exact"/>
        <w:ind w:firstLine="642" w:firstLineChars="200"/>
        <w:rPr>
          <w:rFonts w:ascii="仿宋" w:hAnsi="仿宋" w:eastAsia="仿宋" w:cs="Times New Roman"/>
          <w:sz w:val="32"/>
          <w:szCs w:val="32"/>
        </w:rPr>
      </w:pPr>
      <w:r>
        <w:rPr>
          <w:rFonts w:hint="eastAsia" w:ascii="仿宋" w:hAnsi="仿宋" w:eastAsia="仿宋" w:cs="Times New Roman"/>
          <w:b/>
          <w:sz w:val="32"/>
          <w:szCs w:val="32"/>
        </w:rPr>
        <w:t xml:space="preserve">第十八条 </w:t>
      </w:r>
      <w:r>
        <w:rPr>
          <w:rFonts w:hint="eastAsia" w:ascii="仿宋" w:hAnsi="仿宋" w:eastAsia="仿宋" w:cs="Times New Roman"/>
          <w:sz w:val="32"/>
          <w:szCs w:val="32"/>
        </w:rPr>
        <w:t>如果处于封闭期内的基金持有的同一固定收益品种需要同时考虑第一阶段和第二阶段的预期信用损失率，基金管理人可在平衡成本效益原则与审慎原则且公平对待投资者的前提下，使用合理的计算方法确定该固定收益品种的综合预期信用损失率。</w:t>
      </w:r>
    </w:p>
    <w:p>
      <w:pPr>
        <w:spacing w:line="560" w:lineRule="exact"/>
        <w:ind w:firstLine="642" w:firstLineChars="200"/>
        <w:rPr>
          <w:rFonts w:ascii="仿宋" w:hAnsi="仿宋" w:eastAsia="仿宋" w:cs="Times New Roman"/>
          <w:sz w:val="32"/>
          <w:szCs w:val="32"/>
        </w:rPr>
      </w:pPr>
      <w:r>
        <w:rPr>
          <w:rFonts w:hint="eastAsia" w:ascii="仿宋" w:hAnsi="仿宋" w:eastAsia="仿宋" w:cs="Times New Roman"/>
          <w:b/>
          <w:sz w:val="32"/>
          <w:szCs w:val="32"/>
        </w:rPr>
        <w:t xml:space="preserve">第十九条 </w:t>
      </w:r>
      <w:r>
        <w:rPr>
          <w:rFonts w:hint="eastAsia" w:ascii="仿宋" w:hAnsi="仿宋" w:eastAsia="仿宋" w:cs="Times New Roman"/>
          <w:sz w:val="32"/>
          <w:szCs w:val="32"/>
        </w:rPr>
        <w:t>基金管理人应充分考虑基金持有固定收益品种的特点及其对信用风险的风险缓释作用，合理使用预期信用损失模型确认损失准备，评估担保品、对手方信用评级、剩余期限及特殊合同条款等因素对违约概率和违约损失率等预期信用损失模型参数的影响。对于提前支取利息不受损的定期存款和协议存款，以</w:t>
      </w:r>
      <w:r>
        <w:rPr>
          <w:rFonts w:ascii="仿宋" w:hAnsi="仿宋" w:eastAsia="仿宋" w:cs="Times New Roman"/>
          <w:sz w:val="32"/>
          <w:szCs w:val="32"/>
        </w:rPr>
        <w:t>及应收股利</w:t>
      </w:r>
      <w:r>
        <w:rPr>
          <w:rFonts w:hint="eastAsia" w:ascii="仿宋" w:hAnsi="仿宋" w:eastAsia="仿宋" w:cs="Times New Roman"/>
          <w:sz w:val="32"/>
          <w:szCs w:val="32"/>
        </w:rPr>
        <w:t>、</w:t>
      </w:r>
      <w:r>
        <w:rPr>
          <w:rFonts w:ascii="仿宋" w:hAnsi="仿宋" w:eastAsia="仿宋" w:cs="Times New Roman"/>
          <w:sz w:val="32"/>
          <w:szCs w:val="32"/>
        </w:rPr>
        <w:t>应收申购款</w:t>
      </w:r>
      <w:r>
        <w:rPr>
          <w:rFonts w:hint="eastAsia" w:ascii="仿宋" w:hAnsi="仿宋" w:eastAsia="仿宋" w:cs="Times New Roman"/>
          <w:sz w:val="32"/>
          <w:szCs w:val="32"/>
        </w:rPr>
        <w:t>等期限极短的应收款项，基金管理人可考虑参照活期存款计量预期信用损失。对于</w:t>
      </w:r>
      <w:r>
        <w:rPr>
          <w:rFonts w:ascii="仿宋" w:hAnsi="仿宋" w:eastAsia="仿宋" w:cs="Times New Roman"/>
          <w:sz w:val="32"/>
          <w:szCs w:val="32"/>
        </w:rPr>
        <w:t>质押券的公允价值高于买入返售金融资产账面价值</w:t>
      </w:r>
      <w:r>
        <w:rPr>
          <w:rFonts w:hint="eastAsia" w:ascii="仿宋" w:hAnsi="仿宋" w:eastAsia="仿宋" w:cs="Times New Roman"/>
          <w:sz w:val="32"/>
          <w:szCs w:val="32"/>
        </w:rPr>
        <w:t>的银行间逆回购</w:t>
      </w:r>
      <w:r>
        <w:rPr>
          <w:rFonts w:ascii="仿宋" w:hAnsi="仿宋" w:eastAsia="仿宋" w:cs="Times New Roman"/>
          <w:sz w:val="32"/>
          <w:szCs w:val="32"/>
        </w:rPr>
        <w:t>，基金管理人在计量预期信用损失时可认为违约损失率接近于零</w:t>
      </w:r>
      <w:r>
        <w:rPr>
          <w:rFonts w:hint="eastAsia" w:ascii="仿宋" w:hAnsi="仿宋" w:eastAsia="仿宋" w:cs="Times New Roman"/>
          <w:sz w:val="32"/>
          <w:szCs w:val="32"/>
        </w:rPr>
        <w:t>。</w:t>
      </w:r>
      <w:r>
        <w:rPr>
          <w:rFonts w:ascii="仿宋" w:hAnsi="仿宋" w:eastAsia="仿宋" w:cs="Times New Roman"/>
          <w:sz w:val="32"/>
          <w:szCs w:val="32"/>
        </w:rPr>
        <w:t>基金管理人需要在</w:t>
      </w:r>
      <w:r>
        <w:rPr>
          <w:rFonts w:hint="eastAsia" w:ascii="仿宋" w:hAnsi="仿宋" w:eastAsia="仿宋" w:cs="Times New Roman"/>
          <w:sz w:val="32"/>
          <w:szCs w:val="32"/>
        </w:rPr>
        <w:t>逆回购</w:t>
      </w:r>
      <w:r>
        <w:rPr>
          <w:rFonts w:ascii="仿宋" w:hAnsi="仿宋" w:eastAsia="仿宋" w:cs="Times New Roman"/>
          <w:sz w:val="32"/>
          <w:szCs w:val="32"/>
        </w:rPr>
        <w:t>合同存续期内每日监控质押券的公允价值变化</w:t>
      </w:r>
      <w:r>
        <w:rPr>
          <w:rFonts w:hint="eastAsia" w:ascii="仿宋" w:hAnsi="仿宋" w:eastAsia="仿宋" w:cs="Times New Roman"/>
          <w:sz w:val="32"/>
          <w:szCs w:val="32"/>
        </w:rPr>
        <w:t>，当出现</w:t>
      </w:r>
      <w:r>
        <w:rPr>
          <w:rFonts w:ascii="仿宋" w:hAnsi="仿宋" w:eastAsia="仿宋" w:cs="Times New Roman"/>
          <w:sz w:val="32"/>
          <w:szCs w:val="32"/>
        </w:rPr>
        <w:t>质押券</w:t>
      </w:r>
      <w:r>
        <w:rPr>
          <w:rFonts w:hint="eastAsia" w:ascii="仿宋" w:hAnsi="仿宋" w:eastAsia="仿宋" w:cs="Times New Roman"/>
          <w:sz w:val="32"/>
          <w:szCs w:val="32"/>
        </w:rPr>
        <w:t>的</w:t>
      </w:r>
      <w:r>
        <w:rPr>
          <w:rFonts w:ascii="仿宋" w:hAnsi="仿宋" w:eastAsia="仿宋" w:cs="Times New Roman"/>
          <w:sz w:val="32"/>
          <w:szCs w:val="32"/>
        </w:rPr>
        <w:t>公允价值</w:t>
      </w:r>
      <w:r>
        <w:rPr>
          <w:rFonts w:hint="eastAsia" w:ascii="仿宋" w:hAnsi="仿宋" w:eastAsia="仿宋" w:cs="Times New Roman"/>
          <w:sz w:val="32"/>
          <w:szCs w:val="32"/>
        </w:rPr>
        <w:t>不足以覆盖</w:t>
      </w:r>
      <w:r>
        <w:rPr>
          <w:rFonts w:ascii="仿宋" w:hAnsi="仿宋" w:eastAsia="仿宋" w:cs="Times New Roman"/>
          <w:sz w:val="32"/>
          <w:szCs w:val="32"/>
        </w:rPr>
        <w:t>买入返售金融资产账面价值</w:t>
      </w:r>
      <w:r>
        <w:rPr>
          <w:rFonts w:hint="eastAsia" w:ascii="仿宋" w:hAnsi="仿宋" w:eastAsia="仿宋" w:cs="Times New Roman"/>
          <w:sz w:val="32"/>
          <w:szCs w:val="32"/>
        </w:rPr>
        <w:t>的</w:t>
      </w:r>
      <w:r>
        <w:rPr>
          <w:rFonts w:ascii="仿宋" w:hAnsi="仿宋" w:eastAsia="仿宋" w:cs="Times New Roman"/>
          <w:sz w:val="32"/>
          <w:szCs w:val="32"/>
        </w:rPr>
        <w:t>情况时，</w:t>
      </w:r>
      <w:r>
        <w:rPr>
          <w:rFonts w:hint="eastAsia" w:ascii="仿宋" w:hAnsi="仿宋" w:eastAsia="仿宋" w:cs="Times New Roman"/>
          <w:sz w:val="32"/>
          <w:szCs w:val="32"/>
        </w:rPr>
        <w:t>基金管理人应结合交易对手方信用风险情况等因素综合判断并</w:t>
      </w:r>
      <w:r>
        <w:rPr>
          <w:rFonts w:ascii="仿宋" w:hAnsi="仿宋" w:eastAsia="仿宋" w:cs="Times New Roman"/>
          <w:sz w:val="32"/>
          <w:szCs w:val="32"/>
        </w:rPr>
        <w:t>计量预期信用损失。</w:t>
      </w:r>
    </w:p>
    <w:p>
      <w:pPr>
        <w:spacing w:line="560" w:lineRule="exact"/>
        <w:ind w:firstLine="642" w:firstLineChars="200"/>
        <w:rPr>
          <w:rFonts w:ascii="仿宋" w:hAnsi="仿宋" w:eastAsia="仿宋" w:cs="Times New Roman"/>
          <w:sz w:val="32"/>
          <w:szCs w:val="32"/>
        </w:rPr>
      </w:pPr>
      <w:r>
        <w:rPr>
          <w:rFonts w:hint="eastAsia" w:ascii="仿宋" w:hAnsi="仿宋" w:eastAsia="仿宋" w:cs="Times New Roman"/>
          <w:b/>
          <w:sz w:val="32"/>
          <w:szCs w:val="32"/>
        </w:rPr>
        <w:t xml:space="preserve">第二十条 </w:t>
      </w:r>
      <w:r>
        <w:rPr>
          <w:rFonts w:hint="eastAsia" w:ascii="仿宋" w:hAnsi="仿宋" w:eastAsia="仿宋" w:cs="Times New Roman"/>
          <w:sz w:val="32"/>
          <w:szCs w:val="32"/>
        </w:rPr>
        <w:t>一般情况下，基金持有的以下金融资产的预期信用损失率接近于零：</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1.中华人民共和国财政部发行的国债；</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2.中国人民银行发行的中央银行票据；</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3.政策性金融债；</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4.存放于中国证券登记结算有限责任公司（以下简称</w:t>
      </w:r>
      <w:r>
        <w:rPr>
          <w:rFonts w:ascii="仿宋" w:hAnsi="仿宋" w:eastAsia="仿宋" w:cs="Times New Roman"/>
          <w:sz w:val="32"/>
          <w:szCs w:val="32"/>
        </w:rPr>
        <w:t>中国结算）</w:t>
      </w:r>
      <w:r>
        <w:rPr>
          <w:rFonts w:hint="eastAsia" w:ascii="仿宋" w:hAnsi="仿宋" w:eastAsia="仿宋" w:cs="Times New Roman"/>
          <w:sz w:val="32"/>
          <w:szCs w:val="32"/>
        </w:rPr>
        <w:t>的结算备付金、存出保证金；</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5.中国结算为中央对手方的债券质押式逆回购；</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6.应收</w:t>
      </w:r>
      <w:r>
        <w:rPr>
          <w:rFonts w:ascii="仿宋" w:hAnsi="仿宋" w:eastAsia="仿宋" w:cs="Times New Roman"/>
          <w:sz w:val="32"/>
          <w:szCs w:val="32"/>
        </w:rPr>
        <w:t>采用</w:t>
      </w:r>
      <w:r>
        <w:rPr>
          <w:rFonts w:hint="eastAsia" w:ascii="仿宋" w:hAnsi="仿宋" w:eastAsia="仿宋" w:cs="Times New Roman"/>
          <w:sz w:val="32"/>
          <w:szCs w:val="32"/>
        </w:rPr>
        <w:t>足额担保交收或类似交收保障机制的证券登记结算机构</w:t>
      </w:r>
      <w:r>
        <w:rPr>
          <w:rFonts w:ascii="仿宋" w:hAnsi="仿宋" w:eastAsia="仿宋" w:cs="Times New Roman"/>
          <w:sz w:val="32"/>
          <w:szCs w:val="32"/>
        </w:rPr>
        <w:t>（</w:t>
      </w:r>
      <w:r>
        <w:rPr>
          <w:rFonts w:hint="eastAsia" w:ascii="仿宋" w:hAnsi="仿宋" w:eastAsia="仿宋" w:cs="Times New Roman"/>
          <w:sz w:val="32"/>
          <w:szCs w:val="32"/>
        </w:rPr>
        <w:t>如</w:t>
      </w:r>
      <w:r>
        <w:rPr>
          <w:rFonts w:ascii="仿宋" w:hAnsi="仿宋" w:eastAsia="仿宋" w:cs="Times New Roman"/>
          <w:sz w:val="32"/>
          <w:szCs w:val="32"/>
        </w:rPr>
        <w:t>中国结算）</w:t>
      </w:r>
      <w:r>
        <w:rPr>
          <w:rFonts w:hint="eastAsia" w:ascii="仿宋" w:hAnsi="仿宋" w:eastAsia="仿宋" w:cs="Times New Roman"/>
          <w:sz w:val="32"/>
          <w:szCs w:val="32"/>
        </w:rPr>
        <w:t>或</w:t>
      </w:r>
      <w:r>
        <w:rPr>
          <w:rFonts w:ascii="仿宋" w:hAnsi="仿宋" w:eastAsia="仿宋" w:cs="Times New Roman"/>
          <w:sz w:val="32"/>
          <w:szCs w:val="32"/>
        </w:rPr>
        <w:t>交易对手方的</w:t>
      </w:r>
      <w:r>
        <w:rPr>
          <w:rFonts w:hint="eastAsia" w:ascii="仿宋" w:hAnsi="仿宋" w:eastAsia="仿宋" w:cs="Times New Roman"/>
          <w:sz w:val="32"/>
          <w:szCs w:val="32"/>
        </w:rPr>
        <w:t>清算款。</w:t>
      </w:r>
    </w:p>
    <w:p>
      <w:pPr>
        <w:pStyle w:val="2"/>
        <w:jc w:val="center"/>
        <w:rPr>
          <w:rFonts w:hint="eastAsia" w:ascii="黑体" w:hAnsi="黑体" w:eastAsia="黑体" w:cs="黑体"/>
          <w:b w:val="0"/>
          <w:bCs w:val="0"/>
          <w:sz w:val="32"/>
          <w:szCs w:val="32"/>
        </w:rPr>
      </w:pPr>
      <w:bookmarkStart w:id="5" w:name="_Toc89854428"/>
      <w:r>
        <w:rPr>
          <w:rFonts w:hint="eastAsia" w:ascii="黑体" w:hAnsi="黑体" w:eastAsia="黑体" w:cs="黑体"/>
          <w:b w:val="0"/>
          <w:bCs w:val="0"/>
          <w:sz w:val="32"/>
          <w:szCs w:val="32"/>
        </w:rPr>
        <w:t>四、校验与纠偏</w:t>
      </w:r>
      <w:bookmarkEnd w:id="5"/>
    </w:p>
    <w:p>
      <w:pPr>
        <w:spacing w:line="560" w:lineRule="exact"/>
        <w:ind w:firstLine="642" w:firstLineChars="200"/>
        <w:rPr>
          <w:rFonts w:ascii="仿宋" w:hAnsi="仿宋" w:eastAsia="仿宋" w:cs="Times New Roman"/>
          <w:sz w:val="32"/>
          <w:szCs w:val="32"/>
        </w:rPr>
      </w:pPr>
      <w:r>
        <w:rPr>
          <w:rFonts w:hint="eastAsia" w:ascii="仿宋" w:hAnsi="仿宋" w:eastAsia="仿宋" w:cs="Times New Roman"/>
          <w:b/>
          <w:sz w:val="32"/>
          <w:szCs w:val="32"/>
        </w:rPr>
        <w:t>第二十一条</w:t>
      </w:r>
      <w:r>
        <w:rPr>
          <w:rFonts w:hint="eastAsia" w:ascii="仿宋" w:hAnsi="仿宋" w:eastAsia="仿宋" w:cs="Times New Roman"/>
          <w:sz w:val="32"/>
          <w:szCs w:val="32"/>
        </w:rPr>
        <w:t xml:space="preserve"> 由于市场的流动性问题，个别债券可能存在持续缺乏公允成交价和公允报价的情况。因此，在通过上述方法确定估值的同时，基金管理人</w:t>
      </w:r>
      <w:r>
        <w:rPr>
          <w:rFonts w:ascii="仿宋" w:hAnsi="仿宋" w:eastAsia="仿宋" w:cs="Times New Roman"/>
          <w:sz w:val="32"/>
          <w:szCs w:val="32"/>
        </w:rPr>
        <w:t>和第三方估值基准服务机构</w:t>
      </w:r>
      <w:r>
        <w:rPr>
          <w:rFonts w:hint="eastAsia" w:ascii="仿宋" w:hAnsi="仿宋" w:eastAsia="仿宋" w:cs="Times New Roman"/>
          <w:sz w:val="32"/>
          <w:szCs w:val="32"/>
        </w:rPr>
        <w:t>需</w:t>
      </w:r>
      <w:r>
        <w:rPr>
          <w:rFonts w:ascii="仿宋" w:hAnsi="仿宋" w:eastAsia="仿宋" w:cs="Times New Roman"/>
          <w:sz w:val="32"/>
          <w:szCs w:val="32"/>
        </w:rPr>
        <w:t>进行</w:t>
      </w:r>
      <w:r>
        <w:rPr>
          <w:rFonts w:hint="eastAsia" w:ascii="仿宋" w:hAnsi="仿宋" w:eastAsia="仿宋" w:cs="Times New Roman"/>
          <w:sz w:val="32"/>
          <w:szCs w:val="32"/>
        </w:rPr>
        <w:t>校验和纠偏。</w:t>
      </w:r>
    </w:p>
    <w:p>
      <w:pPr>
        <w:spacing w:line="560" w:lineRule="exact"/>
        <w:ind w:firstLine="642" w:firstLineChars="200"/>
        <w:rPr>
          <w:rFonts w:ascii="仿宋" w:hAnsi="仿宋" w:eastAsia="仿宋" w:cs="Times New Roman"/>
          <w:sz w:val="32"/>
          <w:szCs w:val="32"/>
        </w:rPr>
      </w:pPr>
      <w:r>
        <w:rPr>
          <w:rFonts w:hint="eastAsia" w:ascii="仿宋" w:hAnsi="仿宋" w:eastAsia="仿宋" w:cs="Times New Roman"/>
          <w:b/>
          <w:sz w:val="32"/>
          <w:szCs w:val="32"/>
        </w:rPr>
        <w:t xml:space="preserve">第二十二条 </w:t>
      </w:r>
      <w:r>
        <w:rPr>
          <w:rFonts w:hint="eastAsia" w:ascii="仿宋" w:hAnsi="仿宋" w:eastAsia="仿宋" w:cs="Times New Roman"/>
          <w:sz w:val="32"/>
          <w:szCs w:val="32"/>
        </w:rPr>
        <w:t>对直接选取第三方估值基准服务机构提供的估值价格的，校验工作主要依托于第三方估值基准服务机构。同时，基金管理人作为估值的第一责任人，应定期评估第三方估值基准服务机构的估值质量，并对估值价格进行检验，防范可能出现的估值偏差。</w:t>
      </w:r>
    </w:p>
    <w:p>
      <w:pPr>
        <w:spacing w:line="560" w:lineRule="exact"/>
        <w:ind w:firstLine="642" w:firstLineChars="200"/>
        <w:rPr>
          <w:rFonts w:ascii="仿宋" w:hAnsi="仿宋" w:eastAsia="仿宋" w:cs="Times New Roman"/>
          <w:sz w:val="32"/>
          <w:szCs w:val="32"/>
        </w:rPr>
      </w:pPr>
      <w:r>
        <w:rPr>
          <w:rFonts w:hint="eastAsia" w:ascii="仿宋" w:hAnsi="仿宋" w:eastAsia="仿宋" w:cs="Times New Roman"/>
          <w:b/>
          <w:sz w:val="32"/>
          <w:szCs w:val="32"/>
        </w:rPr>
        <w:t xml:space="preserve">第二十三条 </w:t>
      </w:r>
      <w:r>
        <w:rPr>
          <w:rFonts w:hint="eastAsia" w:ascii="仿宋" w:hAnsi="仿宋" w:eastAsia="仿宋" w:cs="Times New Roman"/>
          <w:sz w:val="32"/>
          <w:szCs w:val="32"/>
        </w:rPr>
        <w:t>当基金管理人认为第三方估值基准服务机构发布的估值或估值区间未能体现公允价值，</w:t>
      </w:r>
      <w:r>
        <w:rPr>
          <w:rFonts w:ascii="仿宋" w:hAnsi="仿宋" w:eastAsia="仿宋" w:cs="Times New Roman"/>
          <w:sz w:val="32"/>
          <w:szCs w:val="32"/>
        </w:rPr>
        <w:t>或</w:t>
      </w:r>
      <w:r>
        <w:rPr>
          <w:rFonts w:hint="eastAsia" w:ascii="仿宋" w:hAnsi="仿宋" w:eastAsia="仿宋" w:cs="Times New Roman"/>
          <w:sz w:val="32"/>
          <w:szCs w:val="32"/>
        </w:rPr>
        <w:t>是</w:t>
      </w:r>
      <w:r>
        <w:rPr>
          <w:rFonts w:ascii="仿宋" w:hAnsi="仿宋" w:eastAsia="仿宋" w:cs="Times New Roman"/>
          <w:sz w:val="32"/>
          <w:szCs w:val="32"/>
        </w:rPr>
        <w:t>其</w:t>
      </w:r>
      <w:r>
        <w:rPr>
          <w:rFonts w:hint="eastAsia" w:ascii="仿宋" w:hAnsi="仿宋" w:eastAsia="仿宋" w:cs="Times New Roman"/>
          <w:sz w:val="32"/>
          <w:szCs w:val="32"/>
        </w:rPr>
        <w:t>提供的预期信用损失模型参数或减值计量结果不准确时，基金管理人应综合第三方估值基准服务机构估值结果，必要时可召开估值委员会会议讨论，经与托管人协商，谨慎确定公允价值或预期信用损失金额，并按相关法规的规定，发布相关公告，充分披露确定公允价值或预期信用损失金额的方法、相关估值结果等信息。</w:t>
      </w:r>
    </w:p>
    <w:p>
      <w:pPr>
        <w:pStyle w:val="2"/>
        <w:jc w:val="center"/>
        <w:rPr>
          <w:rFonts w:hint="eastAsia" w:ascii="黑体" w:hAnsi="黑体" w:eastAsia="黑体" w:cs="黑体"/>
          <w:b w:val="0"/>
          <w:bCs w:val="0"/>
          <w:sz w:val="32"/>
          <w:szCs w:val="32"/>
        </w:rPr>
      </w:pPr>
      <w:bookmarkStart w:id="6" w:name="_Toc89854429"/>
      <w:r>
        <w:rPr>
          <w:rFonts w:hint="eastAsia" w:ascii="黑体" w:hAnsi="黑体" w:eastAsia="黑体" w:cs="黑体"/>
          <w:b w:val="0"/>
          <w:bCs w:val="0"/>
          <w:sz w:val="32"/>
          <w:szCs w:val="32"/>
        </w:rPr>
        <w:t>五、释义</w:t>
      </w:r>
      <w:bookmarkEnd w:id="6"/>
    </w:p>
    <w:p>
      <w:pPr>
        <w:spacing w:line="560" w:lineRule="exact"/>
        <w:ind w:firstLine="642" w:firstLineChars="200"/>
        <w:rPr>
          <w:rFonts w:ascii="仿宋" w:hAnsi="仿宋" w:eastAsia="仿宋" w:cs="Times New Roman"/>
          <w:sz w:val="32"/>
          <w:szCs w:val="32"/>
        </w:rPr>
      </w:pPr>
      <w:r>
        <w:rPr>
          <w:rFonts w:hint="eastAsia" w:ascii="仿宋" w:hAnsi="仿宋" w:eastAsia="仿宋" w:cs="Times New Roman"/>
          <w:b/>
          <w:sz w:val="32"/>
          <w:szCs w:val="32"/>
        </w:rPr>
        <w:t xml:space="preserve">第二十四条 </w:t>
      </w:r>
      <w:r>
        <w:rPr>
          <w:rFonts w:hint="eastAsia" w:ascii="仿宋" w:hAnsi="仿宋" w:eastAsia="仿宋" w:cs="Times New Roman"/>
          <w:sz w:val="32"/>
          <w:szCs w:val="32"/>
        </w:rPr>
        <w:t>在第十一条至十四条中，第三方估值基准服务机构的估值全价保留至小数点后</w:t>
      </w:r>
      <w:r>
        <w:rPr>
          <w:rFonts w:ascii="仿宋" w:hAnsi="仿宋" w:eastAsia="仿宋" w:cs="Times New Roman"/>
          <w:sz w:val="32"/>
          <w:szCs w:val="32"/>
        </w:rPr>
        <w:t>4</w:t>
      </w:r>
      <w:r>
        <w:rPr>
          <w:rFonts w:hint="eastAsia" w:ascii="仿宋" w:hAnsi="仿宋" w:eastAsia="仿宋" w:cs="Times New Roman"/>
          <w:sz w:val="32"/>
          <w:szCs w:val="32"/>
        </w:rPr>
        <w:t>位，在交易所市场实行</w:t>
      </w:r>
      <w:r>
        <w:rPr>
          <w:rFonts w:ascii="仿宋" w:hAnsi="仿宋" w:eastAsia="仿宋" w:cs="Times New Roman"/>
          <w:sz w:val="32"/>
          <w:szCs w:val="32"/>
        </w:rPr>
        <w:t>净价交易</w:t>
      </w:r>
      <w:r>
        <w:rPr>
          <w:rFonts w:hint="eastAsia" w:ascii="仿宋" w:hAnsi="仿宋" w:eastAsia="仿宋" w:cs="Times New Roman"/>
          <w:sz w:val="32"/>
          <w:szCs w:val="32"/>
        </w:rPr>
        <w:t>的固定收益品种每百元税前应计利息保留至小数点后</w:t>
      </w:r>
      <w:r>
        <w:rPr>
          <w:rFonts w:ascii="仿宋" w:hAnsi="仿宋" w:eastAsia="仿宋" w:cs="Times New Roman"/>
          <w:sz w:val="32"/>
          <w:szCs w:val="32"/>
        </w:rPr>
        <w:t>8</w:t>
      </w:r>
      <w:r>
        <w:rPr>
          <w:rFonts w:hint="eastAsia" w:ascii="仿宋" w:hAnsi="仿宋" w:eastAsia="仿宋" w:cs="Times New Roman"/>
          <w:sz w:val="32"/>
          <w:szCs w:val="32"/>
        </w:rPr>
        <w:t>位。</w:t>
      </w:r>
    </w:p>
    <w:p>
      <w:pPr>
        <w:spacing w:line="560" w:lineRule="exact"/>
        <w:ind w:firstLine="642" w:firstLineChars="200"/>
        <w:rPr>
          <w:rFonts w:ascii="仿宋" w:hAnsi="仿宋" w:eastAsia="仿宋" w:cs="Times New Roman"/>
          <w:sz w:val="32"/>
          <w:szCs w:val="32"/>
        </w:rPr>
      </w:pPr>
      <w:r>
        <w:rPr>
          <w:rFonts w:hint="eastAsia" w:ascii="仿宋" w:hAnsi="仿宋" w:eastAsia="仿宋" w:cs="Times New Roman"/>
          <w:b/>
          <w:sz w:val="32"/>
          <w:szCs w:val="32"/>
        </w:rPr>
        <w:t>第二十五条</w:t>
      </w:r>
      <w:bookmarkStart w:id="7" w:name="OLE_LINK5"/>
      <w:r>
        <w:rPr>
          <w:rFonts w:hint="eastAsia" w:ascii="仿宋" w:hAnsi="仿宋" w:eastAsia="仿宋" w:cs="Times New Roman"/>
          <w:b/>
          <w:sz w:val="32"/>
          <w:szCs w:val="32"/>
        </w:rPr>
        <w:t xml:space="preserve"> </w:t>
      </w:r>
      <w:r>
        <w:rPr>
          <w:rFonts w:hint="eastAsia" w:ascii="仿宋" w:hAnsi="仿宋" w:eastAsia="仿宋" w:cs="Times New Roman"/>
          <w:sz w:val="32"/>
          <w:szCs w:val="32"/>
        </w:rPr>
        <w:t>对于固定净值型货币市场基金持有的债券投资品种，采用第十</w:t>
      </w:r>
      <w:r>
        <w:rPr>
          <w:rFonts w:hint="eastAsia" w:ascii="仿宋" w:hAnsi="仿宋" w:eastAsia="仿宋" w:cs="Times New Roman"/>
          <w:sz w:val="32"/>
          <w:szCs w:val="32"/>
          <w:lang w:eastAsia="zh-CN"/>
        </w:rPr>
        <w:t>一</w:t>
      </w:r>
      <w:r>
        <w:rPr>
          <w:rFonts w:hint="eastAsia" w:ascii="仿宋" w:hAnsi="仿宋" w:eastAsia="仿宋" w:cs="Times New Roman"/>
          <w:sz w:val="32"/>
          <w:szCs w:val="32"/>
        </w:rPr>
        <w:t>条至十</w:t>
      </w:r>
      <w:r>
        <w:rPr>
          <w:rFonts w:hint="eastAsia" w:ascii="仿宋" w:hAnsi="仿宋" w:eastAsia="仿宋" w:cs="Times New Roman"/>
          <w:sz w:val="32"/>
          <w:szCs w:val="32"/>
          <w:lang w:eastAsia="zh-CN"/>
        </w:rPr>
        <w:t>四</w:t>
      </w:r>
      <w:r>
        <w:rPr>
          <w:rFonts w:hint="eastAsia" w:ascii="仿宋" w:hAnsi="仿宋" w:eastAsia="仿宋" w:cs="Times New Roman"/>
          <w:sz w:val="32"/>
          <w:szCs w:val="32"/>
        </w:rPr>
        <w:t>条的“基金对估值品种的估值全价”（保留至小数点后</w:t>
      </w:r>
      <w:r>
        <w:rPr>
          <w:rFonts w:ascii="仿宋" w:hAnsi="仿宋" w:eastAsia="仿宋" w:cs="Times New Roman"/>
          <w:sz w:val="32"/>
          <w:szCs w:val="32"/>
        </w:rPr>
        <w:t>2</w:t>
      </w:r>
      <w:r>
        <w:rPr>
          <w:rFonts w:hint="eastAsia" w:ascii="仿宋" w:hAnsi="仿宋" w:eastAsia="仿宋" w:cs="Times New Roman"/>
          <w:sz w:val="32"/>
          <w:szCs w:val="32"/>
        </w:rPr>
        <w:t>位）作为影子价格</w:t>
      </w:r>
      <w:bookmarkEnd w:id="7"/>
      <w:r>
        <w:rPr>
          <w:rFonts w:ascii="仿宋" w:hAnsi="仿宋" w:eastAsia="仿宋" w:cs="Times New Roman"/>
          <w:sz w:val="32"/>
          <w:szCs w:val="32"/>
        </w:rPr>
        <w:t>。</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对于其他以公允价值</w:t>
      </w:r>
      <w:r>
        <w:rPr>
          <w:rFonts w:ascii="仿宋" w:hAnsi="仿宋" w:eastAsia="仿宋" w:cs="Times New Roman"/>
          <w:sz w:val="32"/>
          <w:szCs w:val="32"/>
        </w:rPr>
        <w:t>计量的</w:t>
      </w:r>
      <w:r>
        <w:rPr>
          <w:rFonts w:hint="eastAsia" w:ascii="仿宋" w:hAnsi="仿宋" w:eastAsia="仿宋" w:cs="Times New Roman"/>
          <w:sz w:val="32"/>
          <w:szCs w:val="32"/>
        </w:rPr>
        <w:t>固定收益品种，采用第十</w:t>
      </w:r>
      <w:r>
        <w:rPr>
          <w:rFonts w:hint="eastAsia" w:ascii="仿宋" w:hAnsi="仿宋" w:eastAsia="仿宋" w:cs="Times New Roman"/>
          <w:sz w:val="32"/>
          <w:szCs w:val="32"/>
          <w:lang w:eastAsia="zh-CN"/>
        </w:rPr>
        <w:t>一</w:t>
      </w:r>
      <w:r>
        <w:rPr>
          <w:rFonts w:hint="eastAsia" w:ascii="仿宋" w:hAnsi="仿宋" w:eastAsia="仿宋" w:cs="Times New Roman"/>
          <w:sz w:val="32"/>
          <w:szCs w:val="32"/>
        </w:rPr>
        <w:t>条至十</w:t>
      </w:r>
      <w:r>
        <w:rPr>
          <w:rFonts w:hint="eastAsia" w:ascii="仿宋" w:hAnsi="仿宋" w:eastAsia="仿宋" w:cs="Times New Roman"/>
          <w:sz w:val="32"/>
          <w:szCs w:val="32"/>
          <w:lang w:eastAsia="zh-CN"/>
        </w:rPr>
        <w:t>四</w:t>
      </w:r>
      <w:r>
        <w:rPr>
          <w:rFonts w:hint="eastAsia" w:ascii="仿宋" w:hAnsi="仿宋" w:eastAsia="仿宋" w:cs="Times New Roman"/>
          <w:sz w:val="32"/>
          <w:szCs w:val="32"/>
        </w:rPr>
        <w:t>条的</w:t>
      </w:r>
      <w:r>
        <w:rPr>
          <w:rFonts w:ascii="仿宋" w:hAnsi="仿宋" w:eastAsia="仿宋" w:cs="Times New Roman"/>
          <w:sz w:val="32"/>
          <w:szCs w:val="32"/>
        </w:rPr>
        <w:t>“</w:t>
      </w:r>
      <w:r>
        <w:rPr>
          <w:rFonts w:hint="eastAsia" w:ascii="仿宋" w:hAnsi="仿宋" w:eastAsia="仿宋" w:cs="Times New Roman"/>
          <w:sz w:val="32"/>
          <w:szCs w:val="32"/>
        </w:rPr>
        <w:t>基金对估值品种的估值全价</w:t>
      </w:r>
      <w:r>
        <w:rPr>
          <w:rFonts w:ascii="仿宋" w:hAnsi="仿宋" w:eastAsia="仿宋" w:cs="Times New Roman"/>
          <w:sz w:val="32"/>
          <w:szCs w:val="32"/>
        </w:rPr>
        <w:t>”</w:t>
      </w:r>
      <w:r>
        <w:rPr>
          <w:rFonts w:hint="eastAsia" w:ascii="仿宋" w:hAnsi="仿宋" w:eastAsia="仿宋" w:cs="Times New Roman"/>
          <w:sz w:val="32"/>
          <w:szCs w:val="32"/>
        </w:rPr>
        <w:t>作为估值的依据。</w:t>
      </w:r>
    </w:p>
    <w:p>
      <w:pPr>
        <w:pStyle w:val="2"/>
        <w:jc w:val="center"/>
        <w:rPr>
          <w:rFonts w:hint="eastAsia" w:ascii="黑体" w:hAnsi="黑体" w:eastAsia="黑体" w:cs="黑体"/>
          <w:b w:val="0"/>
          <w:bCs w:val="0"/>
          <w:sz w:val="32"/>
          <w:szCs w:val="32"/>
        </w:rPr>
      </w:pPr>
      <w:bookmarkStart w:id="8" w:name="_Toc89854430"/>
      <w:r>
        <w:rPr>
          <w:rFonts w:hint="eastAsia" w:ascii="黑体" w:hAnsi="黑体" w:eastAsia="黑体" w:cs="黑体"/>
          <w:b w:val="0"/>
          <w:bCs w:val="0"/>
          <w:sz w:val="32"/>
          <w:szCs w:val="32"/>
        </w:rPr>
        <w:t>六、附则</w:t>
      </w:r>
      <w:bookmarkEnd w:id="8"/>
    </w:p>
    <w:p>
      <w:pPr>
        <w:keepNext w:val="0"/>
        <w:keepLines w:val="0"/>
        <w:pageBreakBefore w:val="0"/>
        <w:widowControl w:val="0"/>
        <w:kinsoku/>
        <w:wordWrap/>
        <w:overflowPunct/>
        <w:topLinePunct w:val="0"/>
        <w:autoSpaceDE/>
        <w:autoSpaceDN/>
        <w:bidi w:val="0"/>
        <w:adjustRightInd/>
        <w:snapToGrid/>
        <w:spacing w:after="160" w:line="540" w:lineRule="exact"/>
        <w:ind w:firstLine="642" w:firstLineChars="200"/>
        <w:textAlignment w:val="auto"/>
        <w:rPr>
          <w:rFonts w:ascii="仿宋" w:hAnsi="仿宋" w:eastAsia="仿宋"/>
          <w:sz w:val="32"/>
          <w:szCs w:val="32"/>
        </w:rPr>
      </w:pPr>
      <w:r>
        <w:rPr>
          <w:rFonts w:hint="eastAsia" w:ascii="仿宋" w:hAnsi="仿宋" w:eastAsia="仿宋"/>
          <w:b/>
          <w:sz w:val="32"/>
          <w:szCs w:val="32"/>
        </w:rPr>
        <w:t>第二十六条</w:t>
      </w:r>
      <w:r>
        <w:rPr>
          <w:rFonts w:hint="eastAsia" w:ascii="仿宋" w:hAnsi="仿宋" w:eastAsia="仿宋"/>
          <w:sz w:val="32"/>
          <w:szCs w:val="32"/>
        </w:rPr>
        <w:t xml:space="preserve"> 证券期货经营机构私募资产管理计划参照本标准对固定收益品种进行估值。</w:t>
      </w:r>
    </w:p>
    <w:p>
      <w:pPr>
        <w:spacing w:after="160" w:line="540" w:lineRule="exact"/>
        <w:ind w:firstLine="642" w:firstLineChars="200"/>
        <w:rPr>
          <w:rFonts w:ascii="仿宋" w:hAnsi="仿宋" w:eastAsia="仿宋"/>
          <w:sz w:val="32"/>
          <w:szCs w:val="32"/>
        </w:rPr>
      </w:pPr>
      <w:r>
        <w:rPr>
          <w:rFonts w:hint="eastAsia" w:ascii="仿宋" w:hAnsi="仿宋" w:eastAsia="仿宋"/>
          <w:b/>
          <w:sz w:val="32"/>
          <w:szCs w:val="32"/>
        </w:rPr>
        <w:t>第二十七</w:t>
      </w:r>
      <w:r>
        <w:rPr>
          <w:rFonts w:ascii="仿宋" w:hAnsi="仿宋" w:eastAsia="仿宋"/>
          <w:b/>
          <w:sz w:val="32"/>
          <w:szCs w:val="32"/>
        </w:rPr>
        <w:t>条</w:t>
      </w:r>
      <w:r>
        <w:rPr>
          <w:rFonts w:hint="eastAsia" w:ascii="仿宋" w:hAnsi="仿宋" w:eastAsia="仿宋"/>
          <w:b/>
          <w:sz w:val="32"/>
          <w:szCs w:val="32"/>
        </w:rPr>
        <w:t xml:space="preserve"> </w:t>
      </w:r>
      <w:r>
        <w:rPr>
          <w:rFonts w:ascii="仿宋" w:hAnsi="仿宋" w:eastAsia="仿宋"/>
          <w:sz w:val="32"/>
          <w:szCs w:val="32"/>
        </w:rPr>
        <w:t>本</w:t>
      </w:r>
      <w:r>
        <w:rPr>
          <w:rFonts w:hint="eastAsia" w:ascii="仿宋" w:hAnsi="仿宋" w:eastAsia="仿宋"/>
          <w:sz w:val="32"/>
          <w:szCs w:val="32"/>
        </w:rPr>
        <w:t>标准</w:t>
      </w:r>
      <w:r>
        <w:rPr>
          <w:rFonts w:ascii="仿宋" w:hAnsi="仿宋" w:eastAsia="仿宋"/>
          <w:sz w:val="32"/>
          <w:szCs w:val="32"/>
        </w:rPr>
        <w:t>自</w:t>
      </w:r>
      <w:r>
        <w:rPr>
          <w:rFonts w:hint="eastAsia" w:ascii="仿宋" w:hAnsi="仿宋" w:eastAsia="仿宋"/>
          <w:sz w:val="32"/>
          <w:szCs w:val="32"/>
        </w:rPr>
        <w:t>发布之日起至2</w:t>
      </w:r>
      <w:r>
        <w:rPr>
          <w:rFonts w:ascii="仿宋" w:hAnsi="仿宋" w:eastAsia="仿宋"/>
          <w:sz w:val="32"/>
          <w:szCs w:val="32"/>
        </w:rPr>
        <w:t>023年3</w:t>
      </w:r>
      <w:r>
        <w:rPr>
          <w:rFonts w:hint="eastAsia" w:ascii="仿宋" w:hAnsi="仿宋" w:eastAsia="仿宋"/>
          <w:sz w:val="32"/>
          <w:szCs w:val="32"/>
        </w:rPr>
        <w:t>月</w:t>
      </w:r>
      <w:r>
        <w:rPr>
          <w:rFonts w:ascii="仿宋" w:hAnsi="仿宋" w:eastAsia="仿宋"/>
          <w:sz w:val="32"/>
          <w:szCs w:val="32"/>
        </w:rPr>
        <w:t>31日</w:t>
      </w:r>
      <w:r>
        <w:rPr>
          <w:rFonts w:hint="eastAsia" w:ascii="仿宋" w:hAnsi="仿宋" w:eastAsia="仿宋"/>
          <w:sz w:val="32"/>
          <w:szCs w:val="32"/>
        </w:rPr>
        <w:t>实施完毕。</w:t>
      </w:r>
    </w:p>
    <w:p>
      <w:pPr>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br w:type="page"/>
      </w:r>
    </w:p>
    <w:p>
      <w:pPr>
        <w:rPr>
          <w:rFonts w:hint="eastAsia" w:ascii="黑体" w:hAnsi="黑体" w:eastAsia="黑体" w:cs="黑体"/>
          <w:b w:val="0"/>
          <w:bCs/>
          <w:sz w:val="32"/>
          <w:szCs w:val="32"/>
        </w:rPr>
      </w:pPr>
      <w:r>
        <w:rPr>
          <w:rFonts w:hint="eastAsia" w:ascii="黑体" w:hAnsi="黑体" w:eastAsia="黑体" w:cs="黑体"/>
          <w:b w:val="0"/>
          <w:bCs/>
          <w:sz w:val="32"/>
          <w:szCs w:val="32"/>
        </w:rPr>
        <w:t>附件</w:t>
      </w:r>
    </w:p>
    <w:p>
      <w:pPr>
        <w:jc w:val="center"/>
        <w:rPr>
          <w:rFonts w:hint="eastAsia" w:ascii="宋体" w:hAnsi="宋体" w:eastAsia="宋体" w:cs="宋体"/>
          <w:b/>
          <w:bCs w:val="0"/>
          <w:sz w:val="44"/>
          <w:szCs w:val="44"/>
        </w:rPr>
      </w:pPr>
      <w:r>
        <w:rPr>
          <w:rFonts w:hint="eastAsia" w:ascii="宋体" w:hAnsi="宋体" w:eastAsia="宋体" w:cs="宋体"/>
          <w:b/>
          <w:bCs w:val="0"/>
          <w:sz w:val="44"/>
          <w:szCs w:val="44"/>
        </w:rPr>
        <w:t>预期信用损失模型计量方法</w:t>
      </w:r>
    </w:p>
    <w:p>
      <w:pPr>
        <w:spacing w:line="360" w:lineRule="auto"/>
        <w:rPr>
          <w:rFonts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ascii="黑体" w:hAnsi="黑体" w:eastAsia="黑体" w:cs="Times New Roman"/>
          <w:sz w:val="32"/>
          <w:szCs w:val="32"/>
        </w:rPr>
      </w:pPr>
      <w:r>
        <w:rPr>
          <w:rFonts w:hint="eastAsia" w:ascii="黑体" w:hAnsi="黑体" w:eastAsia="黑体" w:cs="Times New Roman"/>
          <w:sz w:val="32"/>
          <w:szCs w:val="32"/>
        </w:rPr>
        <w:t>一、预期信用损失计算公式</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ascii="仿宋" w:hAnsi="仿宋" w:eastAsia="仿宋" w:cs="Times New Roman"/>
          <w:sz w:val="32"/>
          <w:szCs w:val="32"/>
        </w:rPr>
      </w:pPr>
      <w:r>
        <w:rPr>
          <w:rFonts w:hint="eastAsia" w:ascii="仿宋" w:hAnsi="仿宋" w:eastAsia="仿宋" w:cs="Times New Roman"/>
          <w:sz w:val="32"/>
          <w:szCs w:val="32"/>
        </w:rPr>
        <w:t>基金管理人可以采用违约概率/违约损失率或损失率法模型进行预期信用损失计量，计算公式如下：</w:t>
      </w:r>
    </w:p>
    <w:p>
      <w:pPr>
        <w:pStyle w:val="5"/>
        <w:spacing w:before="62"/>
        <w:ind w:left="-184" w:leftChars="0" w:right="-199" w:hanging="16" w:firstLineChars="0"/>
        <w:rPr>
          <w:rFonts w:ascii="仿宋_GB2312" w:hAnsi="仿宋_GB2312" w:eastAsia="仿宋_GB2312"/>
          <w:iCs/>
          <w:spacing w:val="3"/>
          <w:sz w:val="32"/>
          <w:szCs w:val="32"/>
          <w:lang w:eastAsia="zh-CN"/>
        </w:rPr>
      </w:pPr>
      <m:oMathPara>
        <m:oMathParaPr>
          <m:jc m:val="left"/>
        </m:oMathParaPr>
        <m:oMath>
          <m:r>
            <m:rPr>
              <m:sty m:val="p"/>
            </m:rPr>
            <w:rPr>
              <w:rFonts w:ascii="Cambria Math" w:hAnsi="Cambria Math"/>
            </w:rPr>
            <m:t>ECL=</m:t>
          </m:r>
          <m:nary>
            <m:naryPr>
              <m:chr m:val="∑"/>
              <m:supHide m:val="true"/>
              <m:ctrlPr>
                <w:rPr>
                  <w:rFonts w:ascii="Cambria Math" w:hAnsi="Cambria Math" w:eastAsia="仿宋_GB2312"/>
                  <w:bCs/>
                  <w:iCs/>
                  <w:spacing w:val="3"/>
                  <w:sz w:val="32"/>
                  <w:szCs w:val="32"/>
                  <w:lang w:eastAsia="zh-CN"/>
                </w:rPr>
              </m:ctrlPr>
            </m:naryPr>
            <m:sub>
              <m:r>
                <m:rPr>
                  <m:sty m:val="p"/>
                </m:rPr>
                <w:rPr>
                  <w:rFonts w:ascii="Cambria Math" w:hAnsi="Cambria Math" w:eastAsia="仿宋_GB2312"/>
                  <w:spacing w:val="3"/>
                  <w:sz w:val="32"/>
                  <w:szCs w:val="32"/>
                  <w:lang w:eastAsia="zh-CN"/>
                </w:rPr>
                <m:t>全部情景</m:t>
              </m:r>
              <m:ctrlPr>
                <w:rPr>
                  <w:rFonts w:ascii="Cambria Math" w:hAnsi="Cambria Math" w:eastAsia="仿宋_GB2312"/>
                  <w:bCs/>
                  <w:iCs/>
                  <w:spacing w:val="3"/>
                  <w:sz w:val="32"/>
                  <w:szCs w:val="32"/>
                  <w:lang w:eastAsia="zh-CN"/>
                </w:rPr>
              </m:ctrlPr>
            </m:sub>
            <m:sup>
              <m:ctrlPr>
                <w:rPr>
                  <w:rFonts w:ascii="Cambria Math" w:hAnsi="Cambria Math" w:eastAsia="仿宋_GB2312"/>
                  <w:bCs/>
                  <w:iCs/>
                  <w:spacing w:val="3"/>
                  <w:sz w:val="32"/>
                  <w:szCs w:val="32"/>
                  <w:lang w:eastAsia="zh-CN"/>
                </w:rPr>
              </m:ctrlPr>
            </m:sup>
            <m:e>
              <m:r>
                <m:rPr>
                  <m:sty m:val="p"/>
                </m:rPr>
                <w:rPr>
                  <w:rFonts w:ascii="Cambria Math" w:hAnsi="Cambria Math" w:eastAsia="仿宋_GB2312"/>
                  <w:spacing w:val="3"/>
                  <w:sz w:val="32"/>
                  <w:szCs w:val="32"/>
                  <w:lang w:eastAsia="zh-CN"/>
                </w:rPr>
                <m:t>某一情景下</m:t>
              </m:r>
              <m:ctrlPr>
                <w:rPr>
                  <w:rFonts w:ascii="Cambria Math" w:hAnsi="Cambria Math" w:eastAsia="仿宋_GB2312"/>
                  <w:bCs/>
                  <w:iCs/>
                  <w:spacing w:val="3"/>
                  <w:sz w:val="32"/>
                  <w:szCs w:val="32"/>
                  <w:lang w:eastAsia="zh-CN"/>
                </w:rPr>
              </m:ctrlPr>
            </m:e>
          </m:nary>
          <m:d>
            <m:dPr>
              <m:ctrlPr>
                <w:rPr>
                  <w:rFonts w:ascii="Cambria Math" w:hAnsi="Cambria Math" w:eastAsia="仿宋_GB2312"/>
                  <w:spacing w:val="3"/>
                  <w:sz w:val="32"/>
                  <w:szCs w:val="32"/>
                  <w:lang w:eastAsia="zh-CN"/>
                </w:rPr>
              </m:ctrlPr>
            </m:dPr>
            <m:e>
              <m:nary>
                <m:naryPr>
                  <m:chr m:val="∑"/>
                  <m:supHide m:val="true"/>
                  <m:ctrlPr>
                    <w:rPr>
                      <w:rFonts w:ascii="Cambria Math" w:hAnsi="Cambria Math" w:eastAsia="仿宋_GB2312"/>
                      <w:bCs/>
                      <w:iCs/>
                      <w:spacing w:val="3"/>
                      <w:sz w:val="32"/>
                      <w:szCs w:val="32"/>
                      <w:lang w:eastAsia="zh-CN"/>
                    </w:rPr>
                  </m:ctrlPr>
                </m:naryPr>
                <m:sub>
                  <m:f>
                    <m:fPr>
                      <m:ctrlPr>
                        <w:rPr>
                          <w:rFonts w:ascii="Cambria Math" w:hAnsi="Cambria Math" w:eastAsia="仿宋_GB2312"/>
                          <w:spacing w:val="3"/>
                          <w:sz w:val="32"/>
                          <w:szCs w:val="32"/>
                          <w:lang w:eastAsia="zh-CN"/>
                        </w:rPr>
                      </m:ctrlPr>
                    </m:fPr>
                    <m:num>
                      <m:r>
                        <m:rPr>
                          <m:sty m:val="p"/>
                        </m:rPr>
                        <w:rPr>
                          <w:rFonts w:ascii="Cambria Math" w:hAnsi="Cambria Math" w:eastAsia="仿宋_GB2312"/>
                          <w:spacing w:val="3"/>
                          <w:sz w:val="32"/>
                          <w:szCs w:val="32"/>
                          <w:lang w:eastAsia="zh-CN"/>
                        </w:rPr>
                        <m:t>12个月内</m:t>
                      </m:r>
                      <m:ctrlPr>
                        <w:rPr>
                          <w:rFonts w:ascii="Cambria Math" w:hAnsi="Cambria Math" w:eastAsia="仿宋_GB2312"/>
                          <w:spacing w:val="3"/>
                          <w:sz w:val="32"/>
                          <w:szCs w:val="32"/>
                          <w:lang w:eastAsia="zh-CN"/>
                        </w:rPr>
                      </m:ctrlPr>
                    </m:num>
                    <m:den>
                      <m:r>
                        <m:rPr>
                          <m:sty m:val="p"/>
                        </m:rPr>
                        <w:rPr>
                          <w:rFonts w:hint="eastAsia" w:ascii="Cambria Math" w:hAnsi="Cambria Math" w:eastAsia="仿宋_GB2312"/>
                          <w:spacing w:val="3"/>
                          <w:sz w:val="32"/>
                          <w:szCs w:val="32"/>
                          <w:lang w:eastAsia="zh-CN"/>
                        </w:rPr>
                        <m:t>存续期</m:t>
                      </m:r>
                      <m:ctrlPr>
                        <w:rPr>
                          <w:rFonts w:ascii="Cambria Math" w:hAnsi="Cambria Math" w:eastAsia="仿宋_GB2312"/>
                          <w:spacing w:val="3"/>
                          <w:sz w:val="32"/>
                          <w:szCs w:val="32"/>
                          <w:lang w:eastAsia="zh-CN"/>
                        </w:rPr>
                      </m:ctrlPr>
                    </m:den>
                  </m:f>
                  <m:ctrlPr>
                    <w:rPr>
                      <w:rFonts w:ascii="Cambria Math" w:hAnsi="Cambria Math" w:eastAsia="仿宋_GB2312"/>
                      <w:bCs/>
                      <w:iCs/>
                      <w:spacing w:val="3"/>
                      <w:sz w:val="32"/>
                      <w:szCs w:val="32"/>
                      <w:lang w:eastAsia="zh-CN"/>
                    </w:rPr>
                  </m:ctrlPr>
                </m:sub>
                <m:sup>
                  <m:ctrlPr>
                    <w:rPr>
                      <w:rFonts w:ascii="Cambria Math" w:hAnsi="Cambria Math" w:eastAsia="仿宋_GB2312"/>
                      <w:bCs/>
                      <w:iCs/>
                      <w:spacing w:val="3"/>
                      <w:sz w:val="32"/>
                      <w:szCs w:val="32"/>
                      <w:lang w:eastAsia="zh-CN"/>
                    </w:rPr>
                  </m:ctrlPr>
                </m:sup>
                <m:e>
                  <m:sSub>
                    <m:sSubPr>
                      <m:ctrlPr>
                        <w:rPr>
                          <w:rFonts w:ascii="Cambria Math" w:hAnsi="Cambria Math" w:eastAsia="仿宋_GB2312"/>
                          <w:bCs/>
                          <w:iCs/>
                          <w:spacing w:val="3"/>
                          <w:sz w:val="32"/>
                          <w:szCs w:val="32"/>
                          <w:lang w:eastAsia="zh-CN"/>
                        </w:rPr>
                      </m:ctrlPr>
                    </m:sSubPr>
                    <m:e>
                      <m:r>
                        <m:rPr>
                          <m:sty m:val="p"/>
                        </m:rPr>
                        <w:rPr>
                          <w:rFonts w:ascii="Cambria Math" w:hAnsi="Cambria Math" w:eastAsia="仿宋_GB2312"/>
                          <w:spacing w:val="3"/>
                          <w:sz w:val="32"/>
                          <w:szCs w:val="32"/>
                          <w:lang w:eastAsia="zh-CN"/>
                        </w:rPr>
                        <m:t>EAD</m:t>
                      </m:r>
                      <m:ctrlPr>
                        <w:rPr>
                          <w:rFonts w:ascii="Cambria Math" w:hAnsi="Cambria Math" w:eastAsia="仿宋_GB2312"/>
                          <w:bCs/>
                          <w:iCs/>
                          <w:spacing w:val="3"/>
                          <w:sz w:val="32"/>
                          <w:szCs w:val="32"/>
                          <w:lang w:eastAsia="zh-CN"/>
                        </w:rPr>
                      </m:ctrlPr>
                    </m:e>
                    <m:sub>
                      <m:r>
                        <m:rPr>
                          <m:sty m:val="p"/>
                        </m:rPr>
                        <w:rPr>
                          <w:rFonts w:ascii="Cambria Math" w:hAnsi="Cambria Math" w:eastAsia="仿宋_GB2312"/>
                          <w:spacing w:val="3"/>
                          <w:sz w:val="32"/>
                          <w:szCs w:val="32"/>
                          <w:lang w:eastAsia="zh-CN"/>
                        </w:rPr>
                        <m:t>i</m:t>
                      </m:r>
                      <m:ctrlPr>
                        <w:rPr>
                          <w:rFonts w:ascii="Cambria Math" w:hAnsi="Cambria Math" w:eastAsia="仿宋_GB2312"/>
                          <w:bCs/>
                          <w:iCs/>
                          <w:spacing w:val="3"/>
                          <w:sz w:val="32"/>
                          <w:szCs w:val="32"/>
                          <w:lang w:eastAsia="zh-CN"/>
                        </w:rPr>
                      </m:ctrlPr>
                    </m:sub>
                  </m:sSub>
                  <m:r>
                    <m:rPr>
                      <m:sty m:val="p"/>
                    </m:rPr>
                    <w:rPr>
                      <w:rFonts w:ascii="Cambria Math" w:hAnsi="Cambria Math" w:eastAsia="仿宋_GB2312"/>
                      <w:spacing w:val="3"/>
                      <w:sz w:val="32"/>
                      <w:szCs w:val="32"/>
                      <w:lang w:eastAsia="zh-CN"/>
                    </w:rPr>
                    <m:t>×</m:t>
                  </m:r>
                  <m:sSub>
                    <m:sSubPr>
                      <m:ctrlPr>
                        <w:rPr>
                          <w:rFonts w:ascii="Cambria Math" w:hAnsi="Cambria Math" w:eastAsia="仿宋_GB2312"/>
                          <w:bCs/>
                          <w:iCs/>
                          <w:spacing w:val="3"/>
                          <w:sz w:val="32"/>
                          <w:szCs w:val="32"/>
                          <w:lang w:eastAsia="zh-CN"/>
                        </w:rPr>
                      </m:ctrlPr>
                    </m:sSubPr>
                    <m:e>
                      <m:r>
                        <m:rPr>
                          <m:sty m:val="p"/>
                        </m:rPr>
                        <w:rPr>
                          <w:rFonts w:ascii="Cambria Math" w:hAnsi="Cambria Math" w:eastAsia="仿宋_GB2312"/>
                          <w:spacing w:val="3"/>
                          <w:sz w:val="32"/>
                          <w:szCs w:val="32"/>
                          <w:lang w:eastAsia="zh-CN"/>
                        </w:rPr>
                        <m:t>PD</m:t>
                      </m:r>
                      <m:ctrlPr>
                        <w:rPr>
                          <w:rFonts w:ascii="Cambria Math" w:hAnsi="Cambria Math" w:eastAsia="仿宋_GB2312"/>
                          <w:bCs/>
                          <w:iCs/>
                          <w:spacing w:val="3"/>
                          <w:sz w:val="32"/>
                          <w:szCs w:val="32"/>
                          <w:lang w:eastAsia="zh-CN"/>
                        </w:rPr>
                      </m:ctrlPr>
                    </m:e>
                    <m:sub>
                      <m:r>
                        <m:rPr>
                          <m:sty m:val="p"/>
                        </m:rPr>
                        <w:rPr>
                          <w:rFonts w:ascii="Cambria Math" w:hAnsi="Cambria Math" w:eastAsia="仿宋_GB2312"/>
                          <w:spacing w:val="3"/>
                          <w:sz w:val="32"/>
                          <w:szCs w:val="32"/>
                          <w:lang w:eastAsia="zh-CN"/>
                        </w:rPr>
                        <m:t>i</m:t>
                      </m:r>
                      <m:ctrlPr>
                        <w:rPr>
                          <w:rFonts w:ascii="Cambria Math" w:hAnsi="Cambria Math" w:eastAsia="仿宋_GB2312"/>
                          <w:bCs/>
                          <w:iCs/>
                          <w:spacing w:val="3"/>
                          <w:sz w:val="32"/>
                          <w:szCs w:val="32"/>
                          <w:lang w:eastAsia="zh-CN"/>
                        </w:rPr>
                      </m:ctrlPr>
                    </m:sub>
                  </m:sSub>
                  <m:r>
                    <m:rPr>
                      <m:sty m:val="p"/>
                    </m:rPr>
                    <w:rPr>
                      <w:rFonts w:ascii="Cambria Math" w:hAnsi="Cambria Math" w:eastAsia="仿宋_GB2312"/>
                      <w:spacing w:val="3"/>
                      <w:sz w:val="32"/>
                      <w:szCs w:val="32"/>
                      <w:lang w:eastAsia="zh-CN"/>
                    </w:rPr>
                    <m:t>×</m:t>
                  </m:r>
                  <m:sSub>
                    <m:sSubPr>
                      <m:ctrlPr>
                        <w:rPr>
                          <w:rFonts w:ascii="Cambria Math" w:hAnsi="Cambria Math" w:eastAsia="仿宋_GB2312"/>
                          <w:bCs/>
                          <w:iCs/>
                          <w:spacing w:val="3"/>
                          <w:sz w:val="32"/>
                          <w:szCs w:val="32"/>
                          <w:lang w:eastAsia="zh-CN"/>
                        </w:rPr>
                      </m:ctrlPr>
                    </m:sSubPr>
                    <m:e>
                      <m:r>
                        <m:rPr>
                          <m:sty m:val="p"/>
                        </m:rPr>
                        <w:rPr>
                          <w:rFonts w:ascii="Cambria Math" w:hAnsi="Cambria Math" w:eastAsia="仿宋_GB2312"/>
                          <w:spacing w:val="3"/>
                          <w:sz w:val="32"/>
                          <w:szCs w:val="32"/>
                          <w:lang w:eastAsia="zh-CN"/>
                        </w:rPr>
                        <m:t>LGD</m:t>
                      </m:r>
                      <m:ctrlPr>
                        <w:rPr>
                          <w:rFonts w:ascii="Cambria Math" w:hAnsi="Cambria Math" w:eastAsia="仿宋_GB2312"/>
                          <w:bCs/>
                          <w:iCs/>
                          <w:spacing w:val="3"/>
                          <w:sz w:val="32"/>
                          <w:szCs w:val="32"/>
                          <w:lang w:eastAsia="zh-CN"/>
                        </w:rPr>
                      </m:ctrlPr>
                    </m:e>
                    <m:sub>
                      <m:r>
                        <m:rPr>
                          <m:sty m:val="p"/>
                        </m:rPr>
                        <w:rPr>
                          <w:rFonts w:ascii="Cambria Math" w:hAnsi="Cambria Math" w:eastAsia="仿宋_GB2312"/>
                          <w:spacing w:val="3"/>
                          <w:sz w:val="32"/>
                          <w:szCs w:val="32"/>
                          <w:lang w:eastAsia="zh-CN"/>
                        </w:rPr>
                        <m:t>i</m:t>
                      </m:r>
                      <m:ctrlPr>
                        <w:rPr>
                          <w:rFonts w:ascii="Cambria Math" w:hAnsi="Cambria Math" w:eastAsia="仿宋_GB2312"/>
                          <w:bCs/>
                          <w:iCs/>
                          <w:spacing w:val="3"/>
                          <w:sz w:val="32"/>
                          <w:szCs w:val="32"/>
                          <w:lang w:eastAsia="zh-CN"/>
                        </w:rPr>
                      </m:ctrlPr>
                    </m:sub>
                  </m:sSub>
                  <m:r>
                    <m:rPr>
                      <m:sty m:val="p"/>
                    </m:rPr>
                    <w:rPr>
                      <w:rFonts w:ascii="Cambria Math" w:hAnsi="Cambria Math" w:eastAsia="仿宋_GB2312"/>
                      <w:spacing w:val="3"/>
                      <w:sz w:val="32"/>
                      <w:szCs w:val="32"/>
                      <w:lang w:eastAsia="zh-CN"/>
                    </w:rPr>
                    <m:t>×</m:t>
                  </m:r>
                  <m:ctrlPr>
                    <w:rPr>
                      <w:rFonts w:ascii="Cambria Math" w:hAnsi="Cambria Math" w:eastAsia="仿宋_GB2312"/>
                      <w:bCs/>
                      <w:iCs/>
                      <w:spacing w:val="3"/>
                      <w:sz w:val="32"/>
                      <w:szCs w:val="32"/>
                      <w:lang w:eastAsia="zh-CN"/>
                    </w:rPr>
                  </m:ctrlPr>
                </m:e>
              </m:nary>
              <m:r>
                <m:rPr>
                  <m:sty m:val="p"/>
                </m:rPr>
                <w:rPr>
                  <w:rFonts w:hint="eastAsia" w:ascii="Cambria Math" w:hAnsi="Cambria Math" w:eastAsia="仿宋_GB2312"/>
                  <w:spacing w:val="3"/>
                  <w:sz w:val="32"/>
                  <w:szCs w:val="32"/>
                  <w:lang w:eastAsia="zh-CN"/>
                </w:rPr>
                <m:t>折现率</m:t>
              </m:r>
              <m:ctrlPr>
                <w:rPr>
                  <w:rFonts w:ascii="Cambria Math" w:hAnsi="Cambria Math" w:eastAsia="仿宋_GB2312"/>
                  <w:spacing w:val="3"/>
                  <w:sz w:val="32"/>
                  <w:szCs w:val="32"/>
                  <w:lang w:eastAsia="zh-CN"/>
                </w:rPr>
              </m:ctrlPr>
            </m:e>
          </m:d>
          <m:r>
            <m:rPr>
              <m:sty m:val="p"/>
            </m:rPr>
            <w:rPr>
              <w:rFonts w:ascii="Cambria Math" w:hAnsi="Cambria Math" w:eastAsia="仿宋_GB2312"/>
              <w:spacing w:val="3"/>
              <w:sz w:val="32"/>
              <w:szCs w:val="32"/>
              <w:lang w:eastAsia="zh-CN"/>
            </w:rPr>
            <m:t>×</m:t>
          </m:r>
          <m:r>
            <m:rPr>
              <m:sty m:val="p"/>
            </m:rPr>
            <w:rPr>
              <w:rFonts w:hint="eastAsia" w:ascii="Cambria Math" w:hAnsi="Cambria Math" w:eastAsia="仿宋_GB2312"/>
              <w:spacing w:val="3"/>
              <w:sz w:val="32"/>
              <w:szCs w:val="32"/>
              <w:lang w:eastAsia="zh-CN"/>
            </w:rPr>
            <m:t>对应</m:t>
          </m:r>
          <m:r>
            <m:rPr>
              <m:sty m:val="p"/>
            </m:rPr>
            <w:rPr>
              <w:rFonts w:ascii="Cambria Math" w:hAnsi="Cambria Math" w:eastAsia="仿宋_GB2312"/>
              <w:spacing w:val="3"/>
              <w:sz w:val="32"/>
              <w:szCs w:val="32"/>
              <w:lang w:eastAsia="zh-CN"/>
            </w:rPr>
            <m:t>情景</m:t>
          </m:r>
          <m:r>
            <m:rPr>
              <m:sty m:val="p"/>
            </m:rPr>
            <w:rPr>
              <w:rFonts w:hint="eastAsia" w:ascii="Cambria Math" w:hAnsi="Cambria Math" w:eastAsia="仿宋_GB2312"/>
              <w:spacing w:val="3"/>
              <w:sz w:val="32"/>
              <w:szCs w:val="32"/>
              <w:lang w:eastAsia="zh-CN"/>
            </w:rPr>
            <m:t>权重</m:t>
          </m:r>
        </m:oMath>
      </m:oMathPara>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ascii="仿宋" w:hAnsi="仿宋" w:eastAsia="仿宋" w:cs="Times New Roman"/>
          <w:sz w:val="32"/>
          <w:szCs w:val="32"/>
        </w:rPr>
      </w:pPr>
      <w:r>
        <w:rPr>
          <w:rFonts w:hint="eastAsia" w:ascii="仿宋" w:hAnsi="仿宋" w:eastAsia="仿宋" w:cs="Times New Roman"/>
          <w:sz w:val="32"/>
          <w:szCs w:val="32"/>
        </w:rPr>
        <w:t>或</w:t>
      </w:r>
    </w:p>
    <w:p>
      <w:pPr>
        <w:pStyle w:val="5"/>
        <w:spacing w:before="62"/>
        <w:ind w:left="-189" w:leftChars="0" w:right="-314" w:rightChars="0" w:hanging="11" w:firstLineChars="0"/>
        <w:rPr>
          <w:rFonts w:ascii="仿宋_GB2312" w:hAnsi="仿宋_GB2312" w:eastAsia="仿宋_GB2312"/>
          <w:iCs/>
          <w:spacing w:val="3"/>
          <w:sz w:val="32"/>
          <w:szCs w:val="32"/>
          <w:lang w:eastAsia="zh-CN"/>
        </w:rPr>
      </w:pPr>
      <m:oMathPara>
        <m:oMathParaPr>
          <m:jc m:val="left"/>
        </m:oMathParaPr>
        <m:oMath>
          <m:r>
            <m:rPr>
              <m:sty m:val="p"/>
            </m:rPr>
            <w:rPr>
              <w:rFonts w:ascii="Cambria Math" w:hAnsi="Cambria Math" w:eastAsia="仿宋_GB2312"/>
              <w:spacing w:val="3"/>
              <w:sz w:val="32"/>
              <w:szCs w:val="32"/>
              <w:lang w:eastAsia="zh-CN"/>
            </w:rPr>
            <m:t>ECL=</m:t>
          </m:r>
          <m:nary>
            <m:naryPr>
              <m:chr m:val="∑"/>
              <m:supHide m:val="true"/>
              <m:ctrlPr>
                <w:rPr>
                  <w:rFonts w:ascii="Cambria Math" w:hAnsi="Cambria Math" w:eastAsia="仿宋_GB2312"/>
                  <w:bCs/>
                  <w:spacing w:val="3"/>
                  <w:sz w:val="32"/>
                  <w:szCs w:val="32"/>
                  <w:lang w:eastAsia="zh-CN"/>
                </w:rPr>
              </m:ctrlPr>
            </m:naryPr>
            <m:sub>
              <m:r>
                <m:rPr>
                  <m:sty m:val="p"/>
                </m:rPr>
                <w:rPr>
                  <w:rFonts w:ascii="Cambria Math" w:hAnsi="Cambria Math" w:eastAsia="仿宋_GB2312"/>
                  <w:spacing w:val="3"/>
                  <w:sz w:val="32"/>
                  <w:szCs w:val="32"/>
                  <w:lang w:eastAsia="zh-CN"/>
                </w:rPr>
                <m:t>全部情景</m:t>
              </m:r>
              <m:ctrlPr>
                <w:rPr>
                  <w:rFonts w:ascii="Cambria Math" w:hAnsi="Cambria Math" w:eastAsia="仿宋_GB2312"/>
                  <w:bCs/>
                  <w:spacing w:val="3"/>
                  <w:sz w:val="32"/>
                  <w:szCs w:val="32"/>
                  <w:lang w:eastAsia="zh-CN"/>
                </w:rPr>
              </m:ctrlPr>
            </m:sub>
            <m:sup>
              <m:ctrlPr>
                <w:rPr>
                  <w:rFonts w:ascii="Cambria Math" w:hAnsi="Cambria Math" w:eastAsia="仿宋_GB2312"/>
                  <w:bCs/>
                  <w:spacing w:val="3"/>
                  <w:sz w:val="32"/>
                  <w:szCs w:val="32"/>
                  <w:lang w:eastAsia="zh-CN"/>
                </w:rPr>
              </m:ctrlPr>
            </m:sup>
            <m:e>
              <m:r>
                <m:rPr>
                  <m:sty m:val="p"/>
                </m:rPr>
                <w:rPr>
                  <w:rFonts w:ascii="Cambria Math" w:hAnsi="Cambria Math" w:eastAsia="仿宋_GB2312"/>
                  <w:spacing w:val="3"/>
                  <w:sz w:val="32"/>
                  <w:szCs w:val="32"/>
                  <w:lang w:eastAsia="zh-CN"/>
                </w:rPr>
                <m:t>某一情景下</m:t>
              </m:r>
              <m:ctrlPr>
                <w:rPr>
                  <w:rFonts w:ascii="Cambria Math" w:hAnsi="Cambria Math" w:eastAsia="仿宋_GB2312"/>
                  <w:bCs/>
                  <w:spacing w:val="3"/>
                  <w:sz w:val="32"/>
                  <w:szCs w:val="32"/>
                  <w:lang w:eastAsia="zh-CN"/>
                </w:rPr>
              </m:ctrlPr>
            </m:e>
          </m:nary>
          <m:d>
            <m:dPr>
              <m:ctrlPr>
                <w:rPr>
                  <w:rFonts w:ascii="Cambria Math" w:hAnsi="Cambria Math" w:eastAsia="仿宋_GB2312"/>
                  <w:spacing w:val="3"/>
                  <w:sz w:val="32"/>
                  <w:szCs w:val="32"/>
                  <w:lang w:eastAsia="zh-CN"/>
                </w:rPr>
              </m:ctrlPr>
            </m:dPr>
            <m:e>
              <m:nary>
                <m:naryPr>
                  <m:chr m:val="∑"/>
                  <m:supHide m:val="true"/>
                  <m:ctrlPr>
                    <w:rPr>
                      <w:rFonts w:ascii="Cambria Math" w:hAnsi="Cambria Math" w:eastAsia="仿宋_GB2312"/>
                      <w:bCs/>
                      <w:iCs/>
                      <w:spacing w:val="3"/>
                      <w:sz w:val="32"/>
                      <w:szCs w:val="32"/>
                      <w:lang w:eastAsia="zh-CN"/>
                    </w:rPr>
                  </m:ctrlPr>
                </m:naryPr>
                <m:sub>
                  <m:f>
                    <m:fPr>
                      <m:ctrlPr>
                        <w:rPr>
                          <w:rFonts w:ascii="Cambria Math" w:hAnsi="Cambria Math" w:eastAsia="仿宋_GB2312"/>
                          <w:spacing w:val="3"/>
                          <w:sz w:val="32"/>
                          <w:szCs w:val="32"/>
                          <w:lang w:eastAsia="zh-CN"/>
                        </w:rPr>
                      </m:ctrlPr>
                    </m:fPr>
                    <m:num>
                      <m:r>
                        <m:rPr>
                          <m:sty m:val="p"/>
                        </m:rPr>
                        <w:rPr>
                          <w:rFonts w:ascii="Cambria Math" w:hAnsi="Cambria Math" w:eastAsia="仿宋_GB2312"/>
                          <w:spacing w:val="3"/>
                          <w:sz w:val="32"/>
                          <w:szCs w:val="32"/>
                          <w:lang w:eastAsia="zh-CN"/>
                        </w:rPr>
                        <m:t>12个月内</m:t>
                      </m:r>
                      <m:ctrlPr>
                        <w:rPr>
                          <w:rFonts w:ascii="Cambria Math" w:hAnsi="Cambria Math" w:eastAsia="仿宋_GB2312"/>
                          <w:spacing w:val="3"/>
                          <w:sz w:val="32"/>
                          <w:szCs w:val="32"/>
                          <w:lang w:eastAsia="zh-CN"/>
                        </w:rPr>
                      </m:ctrlPr>
                    </m:num>
                    <m:den>
                      <m:r>
                        <m:rPr>
                          <m:sty m:val="p"/>
                        </m:rPr>
                        <w:rPr>
                          <w:rFonts w:hint="eastAsia" w:ascii="Cambria Math" w:hAnsi="Cambria Math" w:eastAsia="仿宋_GB2312"/>
                          <w:spacing w:val="3"/>
                          <w:sz w:val="32"/>
                          <w:szCs w:val="32"/>
                          <w:lang w:eastAsia="zh-CN"/>
                        </w:rPr>
                        <m:t>存续期</m:t>
                      </m:r>
                      <m:ctrlPr>
                        <w:rPr>
                          <w:rFonts w:ascii="Cambria Math" w:hAnsi="Cambria Math" w:eastAsia="仿宋_GB2312"/>
                          <w:spacing w:val="3"/>
                          <w:sz w:val="32"/>
                          <w:szCs w:val="32"/>
                          <w:lang w:eastAsia="zh-CN"/>
                        </w:rPr>
                      </m:ctrlPr>
                    </m:den>
                  </m:f>
                  <m:ctrlPr>
                    <w:rPr>
                      <w:rFonts w:ascii="Cambria Math" w:hAnsi="Cambria Math" w:eastAsia="仿宋_GB2312"/>
                      <w:bCs/>
                      <w:iCs/>
                      <w:spacing w:val="3"/>
                      <w:sz w:val="32"/>
                      <w:szCs w:val="32"/>
                      <w:lang w:eastAsia="zh-CN"/>
                    </w:rPr>
                  </m:ctrlPr>
                </m:sub>
                <m:sup>
                  <m:ctrlPr>
                    <w:rPr>
                      <w:rFonts w:ascii="Cambria Math" w:hAnsi="Cambria Math" w:eastAsia="仿宋_GB2312"/>
                      <w:bCs/>
                      <w:iCs/>
                      <w:spacing w:val="3"/>
                      <w:sz w:val="32"/>
                      <w:szCs w:val="32"/>
                      <w:lang w:eastAsia="zh-CN"/>
                    </w:rPr>
                  </m:ctrlPr>
                </m:sup>
                <m:e>
                  <m:sSub>
                    <m:sSubPr>
                      <m:ctrlPr>
                        <w:rPr>
                          <w:rFonts w:ascii="Cambria Math" w:hAnsi="Cambria Math" w:eastAsia="仿宋_GB2312"/>
                          <w:bCs/>
                          <w:iCs/>
                          <w:spacing w:val="3"/>
                          <w:sz w:val="32"/>
                          <w:szCs w:val="32"/>
                          <w:lang w:eastAsia="zh-CN"/>
                        </w:rPr>
                      </m:ctrlPr>
                    </m:sSubPr>
                    <m:e>
                      <m:r>
                        <m:rPr>
                          <m:sty m:val="p"/>
                        </m:rPr>
                        <w:rPr>
                          <w:rFonts w:ascii="Cambria Math" w:hAnsi="Cambria Math" w:eastAsia="仿宋_GB2312"/>
                          <w:spacing w:val="3"/>
                          <w:sz w:val="32"/>
                          <w:szCs w:val="32"/>
                          <w:lang w:eastAsia="zh-CN"/>
                        </w:rPr>
                        <m:t>EAD</m:t>
                      </m:r>
                      <m:ctrlPr>
                        <w:rPr>
                          <w:rFonts w:ascii="Cambria Math" w:hAnsi="Cambria Math" w:eastAsia="仿宋_GB2312"/>
                          <w:bCs/>
                          <w:iCs/>
                          <w:spacing w:val="3"/>
                          <w:sz w:val="32"/>
                          <w:szCs w:val="32"/>
                          <w:lang w:eastAsia="zh-CN"/>
                        </w:rPr>
                      </m:ctrlPr>
                    </m:e>
                    <m:sub>
                      <m:r>
                        <m:rPr>
                          <m:sty m:val="p"/>
                        </m:rPr>
                        <w:rPr>
                          <w:rFonts w:ascii="Cambria Math" w:hAnsi="Cambria Math" w:eastAsia="仿宋_GB2312"/>
                          <w:spacing w:val="3"/>
                          <w:sz w:val="32"/>
                          <w:szCs w:val="32"/>
                          <w:lang w:eastAsia="zh-CN"/>
                        </w:rPr>
                        <m:t>i</m:t>
                      </m:r>
                      <m:ctrlPr>
                        <w:rPr>
                          <w:rFonts w:ascii="Cambria Math" w:hAnsi="Cambria Math" w:eastAsia="仿宋_GB2312"/>
                          <w:bCs/>
                          <w:iCs/>
                          <w:spacing w:val="3"/>
                          <w:sz w:val="32"/>
                          <w:szCs w:val="32"/>
                          <w:lang w:eastAsia="zh-CN"/>
                        </w:rPr>
                      </m:ctrlPr>
                    </m:sub>
                  </m:sSub>
                  <m:r>
                    <m:rPr>
                      <m:sty m:val="p"/>
                    </m:rPr>
                    <w:rPr>
                      <w:rFonts w:ascii="Cambria Math" w:hAnsi="Cambria Math" w:eastAsia="仿宋_GB2312"/>
                      <w:spacing w:val="3"/>
                      <w:sz w:val="32"/>
                      <w:szCs w:val="32"/>
                      <w:lang w:eastAsia="zh-CN"/>
                    </w:rPr>
                    <m:t>×</m:t>
                  </m:r>
                  <m:ctrlPr>
                    <w:rPr>
                      <w:rFonts w:ascii="Cambria Math" w:hAnsi="Cambria Math" w:eastAsia="仿宋_GB2312"/>
                      <w:bCs/>
                      <w:iCs/>
                      <w:spacing w:val="3"/>
                      <w:sz w:val="32"/>
                      <w:szCs w:val="32"/>
                      <w:lang w:eastAsia="zh-CN"/>
                    </w:rPr>
                  </m:ctrlPr>
                </m:e>
              </m:nary>
              <m:r>
                <m:rPr>
                  <m:sty m:val="p"/>
                </m:rPr>
                <w:rPr>
                  <w:rFonts w:ascii="Cambria Math" w:hAnsi="Cambria Math" w:eastAsia="仿宋_GB2312"/>
                  <w:spacing w:val="3"/>
                  <w:sz w:val="32"/>
                  <w:szCs w:val="32"/>
                  <w:lang w:eastAsia="zh-CN"/>
                </w:rPr>
                <m:t>L</m:t>
              </m:r>
              <m:r>
                <m:rPr>
                  <m:sty m:val="p"/>
                </m:rPr>
                <w:rPr>
                  <w:rFonts w:hint="eastAsia" w:ascii="Cambria Math" w:hAnsi="Cambria Math" w:eastAsia="仿宋_GB2312"/>
                  <w:spacing w:val="3"/>
                  <w:sz w:val="32"/>
                  <w:szCs w:val="32"/>
                  <w:lang w:eastAsia="zh-CN"/>
                </w:rPr>
                <m:t>oss</m:t>
              </m:r>
              <m:r>
                <m:rPr>
                  <m:sty m:val="p"/>
                </m:rPr>
                <w:rPr>
                  <w:rFonts w:ascii="Cambria Math" w:hAnsi="Cambria Math" w:eastAsia="仿宋_GB2312"/>
                  <w:spacing w:val="3"/>
                  <w:sz w:val="32"/>
                  <w:szCs w:val="32"/>
                  <w:lang w:eastAsia="zh-CN"/>
                </w:rPr>
                <m:t xml:space="preserve"> Rate∗</m:t>
              </m:r>
              <m:r>
                <m:rPr>
                  <m:sty m:val="p"/>
                </m:rPr>
                <w:rPr>
                  <w:rFonts w:hint="eastAsia" w:ascii="Cambria Math" w:hAnsi="Cambria Math" w:eastAsia="仿宋_GB2312"/>
                  <w:spacing w:val="3"/>
                  <w:sz w:val="32"/>
                  <w:szCs w:val="32"/>
                  <w:lang w:eastAsia="zh-CN"/>
                </w:rPr>
                <m:t>折现率</m:t>
              </m:r>
              <m:ctrlPr>
                <w:rPr>
                  <w:rFonts w:ascii="Cambria Math" w:hAnsi="Cambria Math" w:eastAsia="仿宋_GB2312"/>
                  <w:spacing w:val="3"/>
                  <w:sz w:val="32"/>
                  <w:szCs w:val="32"/>
                  <w:lang w:eastAsia="zh-CN"/>
                </w:rPr>
              </m:ctrlPr>
            </m:e>
          </m:d>
          <m:r>
            <m:rPr>
              <m:sty m:val="p"/>
            </m:rPr>
            <w:rPr>
              <w:rFonts w:ascii="Cambria Math" w:hAnsi="Cambria Math" w:eastAsia="仿宋_GB2312"/>
              <w:spacing w:val="3"/>
              <w:sz w:val="32"/>
              <w:szCs w:val="32"/>
              <w:lang w:eastAsia="zh-CN"/>
            </w:rPr>
            <m:t>×</m:t>
          </m:r>
          <m:r>
            <m:rPr>
              <m:sty m:val="p"/>
            </m:rPr>
            <w:rPr>
              <w:rFonts w:hint="eastAsia" w:ascii="Cambria Math" w:hAnsi="Cambria Math" w:eastAsia="仿宋_GB2312"/>
              <w:spacing w:val="3"/>
              <w:sz w:val="32"/>
              <w:szCs w:val="32"/>
              <w:lang w:eastAsia="zh-CN"/>
            </w:rPr>
            <m:t>对应</m:t>
          </m:r>
          <m:r>
            <m:rPr>
              <m:sty m:val="p"/>
            </m:rPr>
            <w:rPr>
              <w:rFonts w:ascii="Cambria Math" w:hAnsi="Cambria Math" w:eastAsia="仿宋_GB2312"/>
              <w:spacing w:val="3"/>
              <w:sz w:val="32"/>
              <w:szCs w:val="32"/>
              <w:lang w:eastAsia="zh-CN"/>
            </w:rPr>
            <m:t>情景</m:t>
          </m:r>
          <m:r>
            <m:rPr>
              <m:sty m:val="p"/>
            </m:rPr>
            <w:rPr>
              <w:rFonts w:hint="eastAsia" w:ascii="Cambria Math" w:hAnsi="Cambria Math" w:eastAsia="仿宋_GB2312"/>
              <w:spacing w:val="3"/>
              <w:sz w:val="32"/>
              <w:szCs w:val="32"/>
              <w:lang w:eastAsia="zh-CN"/>
            </w:rPr>
            <m:t>权重</m:t>
          </m:r>
        </m:oMath>
      </m:oMathPara>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黑体" w:hAnsi="黑体" w:eastAsia="黑体" w:cs="Times New Roman"/>
          <w:sz w:val="32"/>
          <w:szCs w:val="32"/>
        </w:rPr>
      </w:pPr>
      <w:r>
        <w:rPr>
          <w:rFonts w:hint="eastAsia" w:ascii="黑体" w:hAnsi="黑体" w:eastAsia="黑体" w:cs="Times New Roman"/>
          <w:sz w:val="32"/>
          <w:szCs w:val="32"/>
        </w:rPr>
        <w:t>二、预期信用损失模型主要</w:t>
      </w:r>
      <w:r>
        <w:rPr>
          <w:rFonts w:ascii="黑体" w:hAnsi="黑体" w:eastAsia="黑体" w:cs="Times New Roman"/>
          <w:sz w:val="32"/>
          <w:szCs w:val="32"/>
        </w:rPr>
        <w:t>要素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 w:hAnsi="仿宋" w:eastAsia="仿宋" w:cs="Times New Roman"/>
          <w:sz w:val="32"/>
          <w:szCs w:val="32"/>
        </w:rPr>
      </w:pPr>
      <w:r>
        <w:rPr>
          <w:rFonts w:hint="eastAsia" w:ascii="仿宋" w:hAnsi="仿宋" w:eastAsia="仿宋" w:cs="Times New Roman"/>
          <w:sz w:val="32"/>
          <w:szCs w:val="32"/>
        </w:rPr>
        <w:t>预期信用损失（</w:t>
      </w:r>
      <w:r>
        <w:rPr>
          <w:rFonts w:ascii="仿宋" w:hAnsi="仿宋" w:eastAsia="仿宋" w:cs="Times New Roman"/>
          <w:sz w:val="32"/>
          <w:szCs w:val="32"/>
        </w:rPr>
        <w:t>ECL</w:t>
      </w:r>
      <w:r>
        <w:rPr>
          <w:rFonts w:hint="eastAsia" w:ascii="仿宋" w:hAnsi="仿宋" w:eastAsia="仿宋" w:cs="Times New Roman"/>
          <w:sz w:val="32"/>
          <w:szCs w:val="32"/>
        </w:rPr>
        <w:t>）模型主要包括以下部分：</w:t>
      </w:r>
    </w:p>
    <w:p>
      <w:pPr>
        <w:keepNext w:val="0"/>
        <w:keepLines w:val="0"/>
        <w:pageBreakBefore w:val="0"/>
        <w:widowControl w:val="0"/>
        <w:kinsoku/>
        <w:wordWrap/>
        <w:overflowPunct/>
        <w:topLinePunct w:val="0"/>
        <w:autoSpaceDE/>
        <w:autoSpaceDN/>
        <w:bidi w:val="0"/>
        <w:adjustRightInd/>
        <w:snapToGrid/>
        <w:spacing w:line="540" w:lineRule="exact"/>
        <w:ind w:firstLine="642" w:firstLineChars="200"/>
        <w:textAlignment w:val="auto"/>
        <w:rPr>
          <w:rFonts w:ascii="楷体" w:hAnsi="楷体" w:eastAsia="楷体" w:cs="Times New Roman"/>
          <w:b/>
          <w:sz w:val="32"/>
          <w:szCs w:val="32"/>
        </w:rPr>
      </w:pPr>
      <w:r>
        <w:rPr>
          <w:rFonts w:hint="eastAsia" w:ascii="楷体" w:hAnsi="楷体" w:eastAsia="楷体" w:cs="Times New Roman"/>
          <w:b/>
          <w:sz w:val="32"/>
          <w:szCs w:val="32"/>
        </w:rPr>
        <w:t>（一）风险参数</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 w:hAnsi="仿宋" w:eastAsia="仿宋"/>
          <w:sz w:val="32"/>
          <w:szCs w:val="32"/>
        </w:rPr>
      </w:pPr>
      <w:r>
        <w:rPr>
          <w:rFonts w:hint="eastAsia" w:ascii="仿宋" w:hAnsi="仿宋" w:eastAsia="仿宋"/>
          <w:sz w:val="32"/>
          <w:szCs w:val="32"/>
        </w:rPr>
        <w:t>通过使用违约概率（</w:t>
      </w:r>
      <w:r>
        <w:rPr>
          <w:rFonts w:ascii="仿宋" w:hAnsi="仿宋" w:eastAsia="仿宋"/>
          <w:sz w:val="32"/>
          <w:szCs w:val="32"/>
        </w:rPr>
        <w:t>PD</w:t>
      </w:r>
      <w:r>
        <w:rPr>
          <w:rFonts w:hint="eastAsia" w:ascii="仿宋" w:hAnsi="仿宋" w:eastAsia="仿宋"/>
          <w:sz w:val="32"/>
          <w:szCs w:val="32"/>
        </w:rPr>
        <w:t>）\违约损失率（</w:t>
      </w:r>
      <w:r>
        <w:rPr>
          <w:rFonts w:ascii="仿宋" w:hAnsi="仿宋" w:eastAsia="仿宋"/>
          <w:sz w:val="32"/>
          <w:szCs w:val="32"/>
        </w:rPr>
        <w:t>LGD</w:t>
      </w:r>
      <w:r>
        <w:rPr>
          <w:rFonts w:hint="eastAsia" w:ascii="仿宋" w:hAnsi="仿宋" w:eastAsia="仿宋"/>
          <w:sz w:val="32"/>
          <w:szCs w:val="32"/>
        </w:rPr>
        <w:t>）或损失率（</w:t>
      </w:r>
      <w:r>
        <w:rPr>
          <w:rFonts w:ascii="仿宋" w:hAnsi="仿宋" w:eastAsia="仿宋"/>
          <w:sz w:val="32"/>
          <w:szCs w:val="32"/>
        </w:rPr>
        <w:t>Loss Rate</w:t>
      </w:r>
      <w:r>
        <w:rPr>
          <w:rFonts w:hint="eastAsia" w:ascii="仿宋" w:hAnsi="仿宋" w:eastAsia="仿宋" w:cs="Times New Roman"/>
          <w:sz w:val="32"/>
          <w:szCs w:val="32"/>
        </w:rPr>
        <w:t>），</w:t>
      </w:r>
      <w:r>
        <w:rPr>
          <w:rFonts w:hint="eastAsia" w:ascii="仿宋" w:hAnsi="仿宋" w:eastAsia="仿宋"/>
          <w:sz w:val="32"/>
          <w:szCs w:val="32"/>
        </w:rPr>
        <w:t>对固定收益品种的未来一段时间内潜在损失情况进行计量，所使用的风险参数模型需要考虑宏观经济因素对其未来潜在损失的影响。</w:t>
      </w:r>
    </w:p>
    <w:p>
      <w:pPr>
        <w:keepNext w:val="0"/>
        <w:keepLines w:val="0"/>
        <w:pageBreakBefore w:val="0"/>
        <w:widowControl w:val="0"/>
        <w:kinsoku/>
        <w:wordWrap/>
        <w:overflowPunct/>
        <w:topLinePunct w:val="0"/>
        <w:autoSpaceDE/>
        <w:autoSpaceDN/>
        <w:bidi w:val="0"/>
        <w:adjustRightInd/>
        <w:snapToGrid/>
        <w:spacing w:line="540" w:lineRule="exact"/>
        <w:ind w:firstLine="642" w:firstLineChars="200"/>
        <w:textAlignment w:val="auto"/>
        <w:rPr>
          <w:rFonts w:ascii="楷体" w:hAnsi="楷体" w:eastAsia="楷体" w:cs="Times New Roman"/>
          <w:b/>
          <w:sz w:val="32"/>
          <w:szCs w:val="32"/>
        </w:rPr>
      </w:pPr>
      <w:r>
        <w:rPr>
          <w:rFonts w:hint="eastAsia" w:ascii="楷体" w:hAnsi="楷体" w:eastAsia="楷体" w:cs="Times New Roman"/>
          <w:b/>
          <w:sz w:val="32"/>
          <w:szCs w:val="32"/>
        </w:rPr>
        <w:t>（二</w:t>
      </w:r>
      <w:r>
        <w:rPr>
          <w:rFonts w:ascii="楷体" w:hAnsi="楷体" w:eastAsia="楷体" w:cs="Times New Roman"/>
          <w:b/>
          <w:sz w:val="32"/>
          <w:szCs w:val="32"/>
        </w:rPr>
        <w:t>）</w:t>
      </w:r>
      <w:r>
        <w:rPr>
          <w:rFonts w:hint="eastAsia" w:ascii="楷体" w:hAnsi="楷体" w:eastAsia="楷体" w:cs="Times New Roman"/>
          <w:b/>
          <w:sz w:val="32"/>
          <w:szCs w:val="32"/>
        </w:rPr>
        <w:t>阶段划分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 w:hAnsi="仿宋" w:eastAsia="仿宋"/>
          <w:sz w:val="32"/>
          <w:szCs w:val="32"/>
        </w:rPr>
      </w:pPr>
      <w:r>
        <w:rPr>
          <w:rFonts w:hint="eastAsia" w:ascii="仿宋" w:hAnsi="仿宋" w:eastAsia="仿宋"/>
          <w:sz w:val="32"/>
          <w:szCs w:val="32"/>
        </w:rPr>
        <w:t>在每个</w:t>
      </w:r>
      <w:r>
        <w:rPr>
          <w:rFonts w:hint="eastAsia" w:ascii="仿宋" w:hAnsi="仿宋" w:eastAsia="仿宋" w:cs="Times New Roman"/>
          <w:sz w:val="32"/>
          <w:szCs w:val="32"/>
        </w:rPr>
        <w:t>估值</w:t>
      </w:r>
      <w:r>
        <w:rPr>
          <w:rFonts w:hint="eastAsia" w:ascii="仿宋" w:hAnsi="仿宋" w:eastAsia="仿宋"/>
          <w:sz w:val="32"/>
          <w:szCs w:val="32"/>
        </w:rPr>
        <w:t>日评估固定收益品种的信用风险自初始确认后是否已显著增加或已发生信用减值，将固定收益品种划分至第一阶段（用</w:t>
      </w:r>
      <w:r>
        <w:rPr>
          <w:rFonts w:hint="eastAsia" w:ascii="仿宋" w:hAnsi="仿宋" w:eastAsia="仿宋" w:cs="Times New Roman"/>
          <w:sz w:val="32"/>
          <w:szCs w:val="32"/>
        </w:rPr>
        <w:t>风险</w:t>
      </w:r>
      <w:r>
        <w:rPr>
          <w:rFonts w:hint="eastAsia" w:ascii="仿宋" w:hAnsi="仿宋" w:eastAsia="仿宋"/>
          <w:sz w:val="32"/>
          <w:szCs w:val="32"/>
        </w:rPr>
        <w:t>自初始确认后未显著增加）、第二阶段（信用风险自初始确认后已显著增加）、第三阶段（已发生信用减值）。</w:t>
      </w:r>
    </w:p>
    <w:p>
      <w:pPr>
        <w:keepNext w:val="0"/>
        <w:keepLines w:val="0"/>
        <w:pageBreakBefore w:val="0"/>
        <w:widowControl w:val="0"/>
        <w:kinsoku/>
        <w:wordWrap/>
        <w:overflowPunct/>
        <w:topLinePunct w:val="0"/>
        <w:autoSpaceDE/>
        <w:autoSpaceDN/>
        <w:bidi w:val="0"/>
        <w:adjustRightInd/>
        <w:snapToGrid/>
        <w:spacing w:line="540" w:lineRule="exact"/>
        <w:ind w:firstLine="642" w:firstLineChars="200"/>
        <w:textAlignment w:val="auto"/>
        <w:rPr>
          <w:rFonts w:ascii="楷体" w:hAnsi="楷体" w:eastAsia="楷体" w:cs="Times New Roman"/>
          <w:b/>
          <w:sz w:val="32"/>
          <w:szCs w:val="32"/>
        </w:rPr>
      </w:pPr>
      <w:r>
        <w:rPr>
          <w:rFonts w:hint="eastAsia" w:ascii="楷体" w:hAnsi="楷体" w:eastAsia="楷体" w:cs="Times New Roman"/>
          <w:b/>
          <w:sz w:val="32"/>
          <w:szCs w:val="32"/>
        </w:rPr>
        <w:t>（三）前瞻性场景</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 w:hAnsi="仿宋" w:eastAsia="仿宋"/>
          <w:sz w:val="32"/>
          <w:szCs w:val="32"/>
        </w:rPr>
      </w:pPr>
      <w:r>
        <w:rPr>
          <w:rFonts w:hint="eastAsia" w:ascii="仿宋" w:hAnsi="仿宋" w:eastAsia="仿宋"/>
          <w:sz w:val="32"/>
          <w:szCs w:val="32"/>
        </w:rPr>
        <w:t>通过一定方法</w:t>
      </w:r>
      <w:r>
        <w:rPr>
          <w:rFonts w:hint="eastAsia" w:ascii="仿宋" w:hAnsi="仿宋" w:eastAsia="仿宋" w:cs="Times New Roman"/>
          <w:sz w:val="32"/>
          <w:szCs w:val="32"/>
        </w:rPr>
        <w:t>获取</w:t>
      </w:r>
      <w:r>
        <w:rPr>
          <w:rFonts w:hint="eastAsia" w:ascii="仿宋" w:hAnsi="仿宋" w:eastAsia="仿宋"/>
          <w:sz w:val="32"/>
          <w:szCs w:val="32"/>
        </w:rPr>
        <w:t>相应的前瞻场景信息，用以预测未来宏观经济场景，对宏观经济场景进行权重设置，用于前瞻场景下预期信用损失的计量。</w:t>
      </w:r>
    </w:p>
    <w:p>
      <w:pPr>
        <w:keepNext w:val="0"/>
        <w:keepLines w:val="0"/>
        <w:pageBreakBefore w:val="0"/>
        <w:widowControl w:val="0"/>
        <w:kinsoku/>
        <w:wordWrap/>
        <w:overflowPunct/>
        <w:topLinePunct w:val="0"/>
        <w:autoSpaceDE/>
        <w:autoSpaceDN/>
        <w:bidi w:val="0"/>
        <w:adjustRightInd/>
        <w:snapToGrid/>
        <w:spacing w:line="540" w:lineRule="exact"/>
        <w:ind w:firstLine="642" w:firstLineChars="200"/>
        <w:textAlignment w:val="auto"/>
        <w:rPr>
          <w:rFonts w:ascii="楷体" w:hAnsi="楷体" w:eastAsia="楷体" w:cs="Times New Roman"/>
          <w:b/>
          <w:sz w:val="32"/>
          <w:szCs w:val="32"/>
        </w:rPr>
      </w:pPr>
      <w:r>
        <w:rPr>
          <w:rFonts w:hint="eastAsia" w:ascii="楷体" w:hAnsi="楷体" w:eastAsia="楷体" w:cs="Times New Roman"/>
          <w:b/>
          <w:sz w:val="32"/>
          <w:szCs w:val="32"/>
        </w:rPr>
        <w:t>（四</w:t>
      </w:r>
      <w:r>
        <w:rPr>
          <w:rFonts w:ascii="楷体" w:hAnsi="楷体" w:eastAsia="楷体" w:cs="Times New Roman"/>
          <w:b/>
          <w:sz w:val="32"/>
          <w:szCs w:val="32"/>
        </w:rPr>
        <w:t>）</w:t>
      </w:r>
      <w:r>
        <w:rPr>
          <w:rFonts w:hint="eastAsia" w:ascii="楷体" w:hAnsi="楷体" w:eastAsia="楷体" w:cs="Times New Roman"/>
          <w:b/>
          <w:sz w:val="32"/>
          <w:szCs w:val="32"/>
        </w:rPr>
        <w:t>存续期设置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 w:hAnsi="仿宋" w:eastAsia="仿宋"/>
          <w:sz w:val="32"/>
          <w:szCs w:val="32"/>
        </w:rPr>
      </w:pPr>
      <w:r>
        <w:rPr>
          <w:rFonts w:hint="eastAsia" w:ascii="仿宋" w:hAnsi="仿宋" w:eastAsia="仿宋"/>
          <w:sz w:val="32"/>
          <w:szCs w:val="32"/>
        </w:rPr>
        <w:t>对于未来存续期进行预测，可以根据金融资产属性使用合同到期日或行为周期进行相应设置。</w:t>
      </w:r>
    </w:p>
    <w:p>
      <w:pPr>
        <w:keepNext w:val="0"/>
        <w:keepLines w:val="0"/>
        <w:pageBreakBefore w:val="0"/>
        <w:widowControl w:val="0"/>
        <w:kinsoku/>
        <w:wordWrap/>
        <w:overflowPunct/>
        <w:topLinePunct w:val="0"/>
        <w:autoSpaceDE/>
        <w:autoSpaceDN/>
        <w:bidi w:val="0"/>
        <w:adjustRightInd/>
        <w:snapToGrid/>
        <w:spacing w:line="540" w:lineRule="exact"/>
        <w:ind w:firstLine="642" w:firstLineChars="200"/>
        <w:textAlignment w:val="auto"/>
        <w:rPr>
          <w:rFonts w:ascii="楷体" w:hAnsi="楷体" w:eastAsia="楷体" w:cs="Times New Roman"/>
          <w:b/>
          <w:sz w:val="32"/>
          <w:szCs w:val="32"/>
        </w:rPr>
      </w:pPr>
      <w:r>
        <w:rPr>
          <w:rFonts w:hint="eastAsia" w:ascii="楷体" w:hAnsi="楷体" w:eastAsia="楷体" w:cs="Times New Roman"/>
          <w:b/>
          <w:sz w:val="32"/>
          <w:szCs w:val="32"/>
        </w:rPr>
        <w:t>（五）折现因子</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 w:hAnsi="仿宋" w:eastAsia="仿宋"/>
          <w:sz w:val="32"/>
          <w:szCs w:val="32"/>
        </w:rPr>
      </w:pPr>
      <w:r>
        <w:rPr>
          <w:rFonts w:hint="eastAsia" w:ascii="仿宋" w:hAnsi="仿宋" w:eastAsia="仿宋"/>
          <w:sz w:val="32"/>
          <w:szCs w:val="32"/>
        </w:rPr>
        <w:t>使用实际利率对未来预期信用损失进行折现至当期。</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黑体" w:hAnsi="黑体" w:eastAsia="黑体" w:cs="Times New Roman"/>
          <w:sz w:val="32"/>
          <w:szCs w:val="32"/>
        </w:rPr>
      </w:pPr>
      <w:r>
        <w:rPr>
          <w:rFonts w:hint="eastAsia" w:ascii="黑体" w:hAnsi="黑体" w:eastAsia="黑体" w:cs="Times New Roman"/>
          <w:sz w:val="32"/>
          <w:szCs w:val="32"/>
        </w:rPr>
        <w:t>三、风险系数的</w:t>
      </w:r>
      <w:r>
        <w:rPr>
          <w:rFonts w:ascii="黑体" w:hAnsi="黑体" w:eastAsia="黑体" w:cs="Times New Roman"/>
          <w:sz w:val="32"/>
          <w:szCs w:val="32"/>
        </w:rPr>
        <w:t>相关考虑</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对于风险参数，基金管理人可以建立模型或外购风险参数，对未来一段时间内的潜在损失进行相应计量。</w:t>
      </w:r>
    </w:p>
    <w:p>
      <w:pPr>
        <w:keepNext w:val="0"/>
        <w:keepLines w:val="0"/>
        <w:pageBreakBefore w:val="0"/>
        <w:widowControl w:val="0"/>
        <w:kinsoku/>
        <w:wordWrap/>
        <w:overflowPunct/>
        <w:topLinePunct w:val="0"/>
        <w:autoSpaceDE/>
        <w:autoSpaceDN/>
        <w:bidi w:val="0"/>
        <w:adjustRightInd/>
        <w:snapToGrid/>
        <w:spacing w:line="540" w:lineRule="exact"/>
        <w:ind w:firstLine="642" w:firstLineChars="200"/>
        <w:textAlignment w:val="auto"/>
        <w:rPr>
          <w:rFonts w:ascii="楷体" w:hAnsi="楷体" w:eastAsia="楷体" w:cs="Times New Roman"/>
          <w:b/>
          <w:sz w:val="32"/>
          <w:szCs w:val="32"/>
        </w:rPr>
      </w:pPr>
      <w:r>
        <w:rPr>
          <w:rFonts w:hint="eastAsia" w:ascii="楷体" w:hAnsi="楷体" w:eastAsia="楷体" w:cs="Times New Roman"/>
          <w:b/>
          <w:sz w:val="32"/>
          <w:szCs w:val="32"/>
        </w:rPr>
        <w:t>（一）违约概率估计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基于固定收益品种的历史违约情况，内部或外部评级信息，考虑前瞻性信息等构建违约概率模型，对单笔或者组合资产在未来一段时间内发生违约的可能性进行预测。在估计违约概率时，可以根据固定收益品种的信用风险特征划分为不同细分类别进行相应建模。对于因为数据积累不够等原因无法建模时，可以参考外部评级或其他信用风险基准值进行估计，基金管理人需要对其外部信息的使用进行定期评估。</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基金管理人可以考虑采用如下方法估计单笔或组合资产的违约概率：</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1、建立内部风险评级模型，考虑历史违约概率，映射外部主标尺等方式估计对应等级违约概率。</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2、基于外部评级结果或主标尺信息确定违约概率。</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3、对于违约概率计量结果，需考虑未来宏观经济要素在不同场景下对于违约概率的影响，分别进行估计。</w:t>
      </w:r>
    </w:p>
    <w:p>
      <w:pPr>
        <w:keepNext w:val="0"/>
        <w:keepLines w:val="0"/>
        <w:pageBreakBefore w:val="0"/>
        <w:widowControl w:val="0"/>
        <w:kinsoku/>
        <w:wordWrap/>
        <w:overflowPunct/>
        <w:topLinePunct w:val="0"/>
        <w:autoSpaceDE/>
        <w:autoSpaceDN/>
        <w:bidi w:val="0"/>
        <w:adjustRightInd/>
        <w:snapToGrid/>
        <w:spacing w:line="540" w:lineRule="exact"/>
        <w:ind w:firstLine="642" w:firstLineChars="200"/>
        <w:textAlignment w:val="auto"/>
        <w:rPr>
          <w:rFonts w:ascii="楷体" w:hAnsi="楷体" w:eastAsia="楷体" w:cs="Times New Roman"/>
          <w:b/>
          <w:sz w:val="32"/>
          <w:szCs w:val="32"/>
        </w:rPr>
      </w:pPr>
      <w:r>
        <w:rPr>
          <w:rFonts w:hint="eastAsia" w:ascii="楷体" w:hAnsi="楷体" w:eastAsia="楷体" w:cs="Times New Roman"/>
          <w:b/>
          <w:sz w:val="32"/>
          <w:szCs w:val="32"/>
        </w:rPr>
        <w:t>（二）违约损失率估计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基于固定收益品种历史损失率情况，结合历史回收信息，前瞻性信息等信息构建相应损失率模型，对单笔或组合资产的违约损失率进行估计。在估计违约损失率时可以考虑信用风险特征，对不同的固定收益品种进行组合处理，进行建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基金管理人可以考虑采用如下方法估计单笔或组合资产的违约损失率：</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1、基于历史违约情况及资产回收情况，建立违约损失率模型。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2、考虑行业基准违约损失率，并且根据债项和风险缓释工具特征进行适当调整。</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3、对于违约损失率计量结果，需评估未来宏观经济要素对其影响状况，并且进行相应调整。</w:t>
      </w:r>
    </w:p>
    <w:p>
      <w:pPr>
        <w:keepNext w:val="0"/>
        <w:keepLines w:val="0"/>
        <w:pageBreakBefore w:val="0"/>
        <w:widowControl w:val="0"/>
        <w:kinsoku/>
        <w:wordWrap/>
        <w:overflowPunct/>
        <w:topLinePunct w:val="0"/>
        <w:autoSpaceDE/>
        <w:autoSpaceDN/>
        <w:bidi w:val="0"/>
        <w:adjustRightInd/>
        <w:snapToGrid/>
        <w:spacing w:line="540" w:lineRule="exact"/>
        <w:ind w:firstLine="642" w:firstLineChars="200"/>
        <w:textAlignment w:val="auto"/>
        <w:rPr>
          <w:rFonts w:ascii="楷体" w:hAnsi="楷体" w:eastAsia="楷体" w:cs="Times New Roman"/>
          <w:b/>
          <w:sz w:val="32"/>
          <w:szCs w:val="32"/>
        </w:rPr>
      </w:pPr>
      <w:r>
        <w:rPr>
          <w:rFonts w:hint="eastAsia" w:ascii="楷体" w:hAnsi="楷体" w:eastAsia="楷体" w:cs="Times New Roman"/>
          <w:b/>
          <w:sz w:val="32"/>
          <w:szCs w:val="32"/>
        </w:rPr>
        <w:t>（三）违约敞口估计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 w:hAnsi="仿宋" w:eastAsia="仿宋" w:cs="Times New Roman"/>
          <w:sz w:val="32"/>
          <w:szCs w:val="32"/>
        </w:rPr>
      </w:pPr>
      <w:r>
        <w:rPr>
          <w:rFonts w:hint="eastAsia" w:ascii="仿宋" w:hAnsi="仿宋" w:eastAsia="仿宋"/>
          <w:sz w:val="32"/>
          <w:szCs w:val="32"/>
        </w:rPr>
        <w:t>基于基金估值日当天，在考虑未来还款信息的情况下，违约敞口</w:t>
      </w:r>
      <w:r>
        <w:rPr>
          <w:rFonts w:hint="eastAsia" w:ascii="仿宋" w:hAnsi="仿宋" w:eastAsia="仿宋"/>
          <w:sz w:val="32"/>
          <w:szCs w:val="32"/>
          <w:lang w:eastAsia="zh-CN"/>
        </w:rPr>
        <w:t>（</w:t>
      </w:r>
      <w:r>
        <w:rPr>
          <w:rFonts w:ascii="仿宋" w:hAnsi="仿宋" w:eastAsia="仿宋"/>
          <w:sz w:val="32"/>
          <w:szCs w:val="32"/>
        </w:rPr>
        <w:t>EAD</w:t>
      </w:r>
      <w:r>
        <w:rPr>
          <w:rFonts w:hint="eastAsia" w:ascii="仿宋" w:hAnsi="仿宋" w:eastAsia="仿宋"/>
          <w:sz w:val="32"/>
          <w:szCs w:val="32"/>
          <w:lang w:eastAsia="zh-CN"/>
        </w:rPr>
        <w:t>）</w:t>
      </w:r>
      <w:r>
        <w:rPr>
          <w:rFonts w:hint="eastAsia" w:ascii="仿宋" w:hAnsi="仿宋" w:eastAsia="仿宋"/>
          <w:sz w:val="32"/>
          <w:szCs w:val="32"/>
        </w:rPr>
        <w:t>代表资产生命周期内可能面临的信用风险暴露。</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中宋简"/>
    <w:panose1 w:val="02010600030101010101"/>
    <w:charset w:val="86"/>
    <w:family w:val="auto"/>
    <w:pitch w:val="default"/>
    <w:sig w:usb0="00000000" w:usb1="00000000" w:usb2="00000016" w:usb3="00000000" w:csb0="0004000F" w:csb1="00000000"/>
  </w:font>
  <w:font w:name="等线">
    <w:altName w:val="仿宋"/>
    <w:panose1 w:val="00000000000000000000"/>
    <w:charset w:val="86"/>
    <w:family w:val="auto"/>
    <w:pitch w:val="default"/>
    <w:sig w:usb0="00000000" w:usb1="00000000" w:usb2="00000000" w:usb3="00000000" w:csb0="00000000" w:csb1="00000000"/>
  </w:font>
  <w:font w:name="等线">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等线 Light">
    <w:altName w:val="汉仪中宋简"/>
    <w:panose1 w:val="02010600030101010101"/>
    <w:charset w:val="86"/>
    <w:family w:val="auto"/>
    <w:pitch w:val="default"/>
    <w:sig w:usb0="00000000" w:usb1="00000000"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Cambria Math">
    <w:altName w:val="DejaVu Math TeX Gyre"/>
    <w:panose1 w:val="02040503050406030204"/>
    <w:charset w:val="00"/>
    <w:family w:val="roman"/>
    <w:pitch w:val="default"/>
    <w:sig w:usb0="00000000" w:usb1="00000000" w:usb2="00000000" w:usb3="00000000" w:csb0="2000019F" w:csb1="00000000"/>
  </w:font>
  <w:font w:name="楷体">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anumGothic">
    <w:panose1 w:val="020D0604000000000000"/>
    <w:charset w:val="81"/>
    <w:family w:val="auto"/>
    <w:pitch w:val="default"/>
    <w:sig w:usb0="900002A7" w:usb1="29D7FCFB" w:usb2="00000010" w:usb3="00000000" w:csb0="00080001" w:csb1="00000000"/>
  </w:font>
  <w:font w:name="DejaVu Sans">
    <w:panose1 w:val="020B0603030804020204"/>
    <w:charset w:val="00"/>
    <w:family w:val="auto"/>
    <w:pitch w:val="default"/>
    <w:sig w:usb0="E7006EFF" w:usb1="D200FDFF" w:usb2="0A246029" w:usb3="0400200C" w:csb0="600001FF" w:csb1="DFFF0000"/>
  </w:font>
  <w:font w:name="等线 Light">
    <w:altName w:val="仿宋"/>
    <w:panose1 w:val="00000000000000000000"/>
    <w:charset w:val="00"/>
    <w:family w:val="auto"/>
    <w:pitch w:val="default"/>
    <w:sig w:usb0="00000000" w:usb1="00000000" w:usb2="00000000" w:usb3="00000000" w:csb0="00000000" w:csb1="00000000"/>
  </w:font>
  <w:font w:name="DejaVu Math TeX Gyre">
    <w:panose1 w:val="02000503000000000000"/>
    <w:charset w:val="00"/>
    <w:family w:val="auto"/>
    <w:pitch w:val="default"/>
    <w:sig w:usb0="A10000EF" w:usb1="4201F9EE" w:usb2="02000000" w:usb3="00000000" w:csb0="60000193" w:csb1="0DD4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1662636"/>
    </w:sdtPr>
    <w:sdtContent>
      <w:p>
        <w:pPr>
          <w:pStyle w:val="7"/>
          <w:jc w:val="center"/>
        </w:pPr>
        <w:r>
          <w:fldChar w:fldCharType="begin"/>
        </w:r>
        <w:r>
          <w:instrText xml:space="preserve">PAGE   \* MERGEFORMAT</w:instrText>
        </w:r>
        <w:r>
          <w:fldChar w:fldCharType="separate"/>
        </w:r>
        <w:r>
          <w:rPr>
            <w:lang w:val="zh-CN"/>
          </w:rPr>
          <w:t>14</w:t>
        </w:r>
        <w:r>
          <w:fldChar w:fldCharType="end"/>
        </w:r>
      </w:p>
    </w:sdtContent>
  </w:sdt>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true"/>
  <w:bordersDoNotSurroundHeader w:val="true"/>
  <w:bordersDoNotSurroundFooter w:val="true"/>
  <w:revisionView w:markup="0"/>
  <w:trackRevisions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673"/>
    <w:rsid w:val="000102A4"/>
    <w:rsid w:val="0001282A"/>
    <w:rsid w:val="000137E0"/>
    <w:rsid w:val="00020BCF"/>
    <w:rsid w:val="00031249"/>
    <w:rsid w:val="00036913"/>
    <w:rsid w:val="0004142C"/>
    <w:rsid w:val="00041CF7"/>
    <w:rsid w:val="000524CC"/>
    <w:rsid w:val="00053AEE"/>
    <w:rsid w:val="00054E07"/>
    <w:rsid w:val="000775EA"/>
    <w:rsid w:val="00081070"/>
    <w:rsid w:val="000810B7"/>
    <w:rsid w:val="000A0BA9"/>
    <w:rsid w:val="000A1B23"/>
    <w:rsid w:val="000A5EB5"/>
    <w:rsid w:val="000C0984"/>
    <w:rsid w:val="000E5F5E"/>
    <w:rsid w:val="001001F0"/>
    <w:rsid w:val="001042FC"/>
    <w:rsid w:val="00104791"/>
    <w:rsid w:val="0010734E"/>
    <w:rsid w:val="00125338"/>
    <w:rsid w:val="00127B51"/>
    <w:rsid w:val="00144DD8"/>
    <w:rsid w:val="00153791"/>
    <w:rsid w:val="001543F5"/>
    <w:rsid w:val="001600DB"/>
    <w:rsid w:val="001626A9"/>
    <w:rsid w:val="001645AD"/>
    <w:rsid w:val="00165830"/>
    <w:rsid w:val="001725A4"/>
    <w:rsid w:val="001763A9"/>
    <w:rsid w:val="00180FFD"/>
    <w:rsid w:val="001834CA"/>
    <w:rsid w:val="00190CA6"/>
    <w:rsid w:val="001926B9"/>
    <w:rsid w:val="001A233E"/>
    <w:rsid w:val="001A750F"/>
    <w:rsid w:val="001B11E2"/>
    <w:rsid w:val="001B7697"/>
    <w:rsid w:val="001C718A"/>
    <w:rsid w:val="001D0EF3"/>
    <w:rsid w:val="001D61B2"/>
    <w:rsid w:val="001E3563"/>
    <w:rsid w:val="001F42E3"/>
    <w:rsid w:val="001F688F"/>
    <w:rsid w:val="00204AFC"/>
    <w:rsid w:val="002057F9"/>
    <w:rsid w:val="002345E6"/>
    <w:rsid w:val="002379DE"/>
    <w:rsid w:val="00246EA7"/>
    <w:rsid w:val="00253566"/>
    <w:rsid w:val="00257233"/>
    <w:rsid w:val="002608BE"/>
    <w:rsid w:val="00260FDF"/>
    <w:rsid w:val="0026628D"/>
    <w:rsid w:val="0028594B"/>
    <w:rsid w:val="0029531D"/>
    <w:rsid w:val="00297968"/>
    <w:rsid w:val="002A1FA3"/>
    <w:rsid w:val="002C4BBB"/>
    <w:rsid w:val="002D262D"/>
    <w:rsid w:val="002F0847"/>
    <w:rsid w:val="002F4DF7"/>
    <w:rsid w:val="002F507C"/>
    <w:rsid w:val="002F7040"/>
    <w:rsid w:val="00302AD5"/>
    <w:rsid w:val="00311F64"/>
    <w:rsid w:val="00312212"/>
    <w:rsid w:val="0031430C"/>
    <w:rsid w:val="00315361"/>
    <w:rsid w:val="00317156"/>
    <w:rsid w:val="00320B59"/>
    <w:rsid w:val="00330220"/>
    <w:rsid w:val="003369DE"/>
    <w:rsid w:val="00345E46"/>
    <w:rsid w:val="0035070C"/>
    <w:rsid w:val="0035274E"/>
    <w:rsid w:val="00354C4B"/>
    <w:rsid w:val="00361180"/>
    <w:rsid w:val="00370A1B"/>
    <w:rsid w:val="00374842"/>
    <w:rsid w:val="0038401D"/>
    <w:rsid w:val="003927EC"/>
    <w:rsid w:val="003A29F5"/>
    <w:rsid w:val="003A3B21"/>
    <w:rsid w:val="003A7A60"/>
    <w:rsid w:val="003B0C8B"/>
    <w:rsid w:val="003B34F8"/>
    <w:rsid w:val="003B3813"/>
    <w:rsid w:val="003C0887"/>
    <w:rsid w:val="003D0972"/>
    <w:rsid w:val="003E4C45"/>
    <w:rsid w:val="003F08B5"/>
    <w:rsid w:val="003F64B3"/>
    <w:rsid w:val="00405BA5"/>
    <w:rsid w:val="00423421"/>
    <w:rsid w:val="004253E0"/>
    <w:rsid w:val="00436510"/>
    <w:rsid w:val="00446882"/>
    <w:rsid w:val="00446ADC"/>
    <w:rsid w:val="00453A72"/>
    <w:rsid w:val="00464BBA"/>
    <w:rsid w:val="00497419"/>
    <w:rsid w:val="004B1208"/>
    <w:rsid w:val="004C188B"/>
    <w:rsid w:val="004C23E3"/>
    <w:rsid w:val="004C7039"/>
    <w:rsid w:val="004C7D39"/>
    <w:rsid w:val="004D205D"/>
    <w:rsid w:val="004D2C0E"/>
    <w:rsid w:val="004D3063"/>
    <w:rsid w:val="004E276B"/>
    <w:rsid w:val="004E3ED4"/>
    <w:rsid w:val="00500A39"/>
    <w:rsid w:val="00501B1C"/>
    <w:rsid w:val="00501B53"/>
    <w:rsid w:val="00502905"/>
    <w:rsid w:val="00502C36"/>
    <w:rsid w:val="00504473"/>
    <w:rsid w:val="00511EB4"/>
    <w:rsid w:val="005145BD"/>
    <w:rsid w:val="00522EC5"/>
    <w:rsid w:val="005415B1"/>
    <w:rsid w:val="00543EED"/>
    <w:rsid w:val="00556E0F"/>
    <w:rsid w:val="00562346"/>
    <w:rsid w:val="0056777F"/>
    <w:rsid w:val="00571494"/>
    <w:rsid w:val="0057184F"/>
    <w:rsid w:val="00576FF0"/>
    <w:rsid w:val="0058485F"/>
    <w:rsid w:val="00591A72"/>
    <w:rsid w:val="00596E5A"/>
    <w:rsid w:val="005B187B"/>
    <w:rsid w:val="005B60E1"/>
    <w:rsid w:val="005C0759"/>
    <w:rsid w:val="005C1D21"/>
    <w:rsid w:val="005D1840"/>
    <w:rsid w:val="005D1C37"/>
    <w:rsid w:val="005E0083"/>
    <w:rsid w:val="005E0510"/>
    <w:rsid w:val="005F484C"/>
    <w:rsid w:val="00604B61"/>
    <w:rsid w:val="006102CA"/>
    <w:rsid w:val="00614055"/>
    <w:rsid w:val="00615802"/>
    <w:rsid w:val="00632A82"/>
    <w:rsid w:val="006343BF"/>
    <w:rsid w:val="00642F84"/>
    <w:rsid w:val="00644931"/>
    <w:rsid w:val="0064546C"/>
    <w:rsid w:val="00650ABB"/>
    <w:rsid w:val="00651907"/>
    <w:rsid w:val="0066293D"/>
    <w:rsid w:val="00665C29"/>
    <w:rsid w:val="006675AC"/>
    <w:rsid w:val="00687013"/>
    <w:rsid w:val="00687904"/>
    <w:rsid w:val="00691F82"/>
    <w:rsid w:val="00693B6D"/>
    <w:rsid w:val="0069465F"/>
    <w:rsid w:val="006A1649"/>
    <w:rsid w:val="006A51EE"/>
    <w:rsid w:val="006B5D3E"/>
    <w:rsid w:val="006C561E"/>
    <w:rsid w:val="006C56D2"/>
    <w:rsid w:val="006D0ACC"/>
    <w:rsid w:val="006D38CC"/>
    <w:rsid w:val="006D4735"/>
    <w:rsid w:val="006D7F89"/>
    <w:rsid w:val="006F1E99"/>
    <w:rsid w:val="00702DBB"/>
    <w:rsid w:val="00711B1B"/>
    <w:rsid w:val="00712D5E"/>
    <w:rsid w:val="00717445"/>
    <w:rsid w:val="00724730"/>
    <w:rsid w:val="007465D9"/>
    <w:rsid w:val="00750B36"/>
    <w:rsid w:val="00760484"/>
    <w:rsid w:val="007659C6"/>
    <w:rsid w:val="007751C5"/>
    <w:rsid w:val="007906D0"/>
    <w:rsid w:val="00792B68"/>
    <w:rsid w:val="007A15A3"/>
    <w:rsid w:val="007B0994"/>
    <w:rsid w:val="007B5CCC"/>
    <w:rsid w:val="007C69DB"/>
    <w:rsid w:val="007D05F8"/>
    <w:rsid w:val="007D065D"/>
    <w:rsid w:val="007D2452"/>
    <w:rsid w:val="007D46F1"/>
    <w:rsid w:val="007D5C24"/>
    <w:rsid w:val="007E5EC6"/>
    <w:rsid w:val="007F18B0"/>
    <w:rsid w:val="00813AC9"/>
    <w:rsid w:val="0081439E"/>
    <w:rsid w:val="008207BE"/>
    <w:rsid w:val="00821000"/>
    <w:rsid w:val="0082195F"/>
    <w:rsid w:val="00824B5F"/>
    <w:rsid w:val="00826A62"/>
    <w:rsid w:val="00830C61"/>
    <w:rsid w:val="0083271F"/>
    <w:rsid w:val="008371D4"/>
    <w:rsid w:val="00837689"/>
    <w:rsid w:val="008378C0"/>
    <w:rsid w:val="008413C6"/>
    <w:rsid w:val="00841E18"/>
    <w:rsid w:val="00852DB8"/>
    <w:rsid w:val="00852EBA"/>
    <w:rsid w:val="0085318F"/>
    <w:rsid w:val="00873933"/>
    <w:rsid w:val="008953DD"/>
    <w:rsid w:val="008A47C6"/>
    <w:rsid w:val="008B559C"/>
    <w:rsid w:val="008C7B65"/>
    <w:rsid w:val="008D03AC"/>
    <w:rsid w:val="008D1C9D"/>
    <w:rsid w:val="008D5517"/>
    <w:rsid w:val="009010E7"/>
    <w:rsid w:val="009112E2"/>
    <w:rsid w:val="0092318B"/>
    <w:rsid w:val="00923532"/>
    <w:rsid w:val="00956314"/>
    <w:rsid w:val="00957B09"/>
    <w:rsid w:val="009655B3"/>
    <w:rsid w:val="00965B0B"/>
    <w:rsid w:val="00971B26"/>
    <w:rsid w:val="00977362"/>
    <w:rsid w:val="0098639D"/>
    <w:rsid w:val="00995C40"/>
    <w:rsid w:val="009B2B41"/>
    <w:rsid w:val="009C2265"/>
    <w:rsid w:val="009C49BB"/>
    <w:rsid w:val="009D52E8"/>
    <w:rsid w:val="009D665B"/>
    <w:rsid w:val="009D6803"/>
    <w:rsid w:val="009E3E6B"/>
    <w:rsid w:val="009E7BD2"/>
    <w:rsid w:val="00A053ED"/>
    <w:rsid w:val="00A12F2E"/>
    <w:rsid w:val="00A325FB"/>
    <w:rsid w:val="00A4161C"/>
    <w:rsid w:val="00A41AAF"/>
    <w:rsid w:val="00A577B8"/>
    <w:rsid w:val="00A6702E"/>
    <w:rsid w:val="00A84E2F"/>
    <w:rsid w:val="00A85B4C"/>
    <w:rsid w:val="00A86BA3"/>
    <w:rsid w:val="00AB44DD"/>
    <w:rsid w:val="00AC68C9"/>
    <w:rsid w:val="00AD3C68"/>
    <w:rsid w:val="00AD4D4E"/>
    <w:rsid w:val="00AE05F0"/>
    <w:rsid w:val="00AE2B98"/>
    <w:rsid w:val="00AF29A8"/>
    <w:rsid w:val="00AF6A87"/>
    <w:rsid w:val="00B060FF"/>
    <w:rsid w:val="00B213B2"/>
    <w:rsid w:val="00B31657"/>
    <w:rsid w:val="00B31E73"/>
    <w:rsid w:val="00B343E3"/>
    <w:rsid w:val="00B405B9"/>
    <w:rsid w:val="00B43673"/>
    <w:rsid w:val="00B5643D"/>
    <w:rsid w:val="00B6766D"/>
    <w:rsid w:val="00B711BA"/>
    <w:rsid w:val="00B77785"/>
    <w:rsid w:val="00B82A5F"/>
    <w:rsid w:val="00B8528C"/>
    <w:rsid w:val="00B95541"/>
    <w:rsid w:val="00BA06A5"/>
    <w:rsid w:val="00BA1967"/>
    <w:rsid w:val="00BA31CF"/>
    <w:rsid w:val="00BA7D27"/>
    <w:rsid w:val="00BB7D36"/>
    <w:rsid w:val="00BC063B"/>
    <w:rsid w:val="00BC070E"/>
    <w:rsid w:val="00BC3612"/>
    <w:rsid w:val="00BD0110"/>
    <w:rsid w:val="00BD5A80"/>
    <w:rsid w:val="00BE17F8"/>
    <w:rsid w:val="00BE5746"/>
    <w:rsid w:val="00BE5D53"/>
    <w:rsid w:val="00BE7929"/>
    <w:rsid w:val="00BF1B5E"/>
    <w:rsid w:val="00BF1C76"/>
    <w:rsid w:val="00BF30A4"/>
    <w:rsid w:val="00BF711D"/>
    <w:rsid w:val="00C04135"/>
    <w:rsid w:val="00C07F77"/>
    <w:rsid w:val="00C215F8"/>
    <w:rsid w:val="00C308A6"/>
    <w:rsid w:val="00C30E16"/>
    <w:rsid w:val="00C359D5"/>
    <w:rsid w:val="00C41F98"/>
    <w:rsid w:val="00C51BE7"/>
    <w:rsid w:val="00C55F85"/>
    <w:rsid w:val="00C639B0"/>
    <w:rsid w:val="00C7510D"/>
    <w:rsid w:val="00C833C8"/>
    <w:rsid w:val="00C8445D"/>
    <w:rsid w:val="00C85DBE"/>
    <w:rsid w:val="00CB0C60"/>
    <w:rsid w:val="00CB177C"/>
    <w:rsid w:val="00CB4081"/>
    <w:rsid w:val="00CB6ED2"/>
    <w:rsid w:val="00CC6D99"/>
    <w:rsid w:val="00CD7550"/>
    <w:rsid w:val="00CE0D84"/>
    <w:rsid w:val="00CF5524"/>
    <w:rsid w:val="00D041DE"/>
    <w:rsid w:val="00D10170"/>
    <w:rsid w:val="00D205C5"/>
    <w:rsid w:val="00D2263F"/>
    <w:rsid w:val="00D22D4C"/>
    <w:rsid w:val="00D25382"/>
    <w:rsid w:val="00D31476"/>
    <w:rsid w:val="00D51802"/>
    <w:rsid w:val="00D51F09"/>
    <w:rsid w:val="00D86DE8"/>
    <w:rsid w:val="00DA3F00"/>
    <w:rsid w:val="00DA4677"/>
    <w:rsid w:val="00DB2679"/>
    <w:rsid w:val="00DB2B73"/>
    <w:rsid w:val="00DC3D0F"/>
    <w:rsid w:val="00DC7671"/>
    <w:rsid w:val="00DD3AAE"/>
    <w:rsid w:val="00DD65CF"/>
    <w:rsid w:val="00DE0A8A"/>
    <w:rsid w:val="00DE4AB4"/>
    <w:rsid w:val="00DE5609"/>
    <w:rsid w:val="00DE7D7D"/>
    <w:rsid w:val="00E00E17"/>
    <w:rsid w:val="00E0176B"/>
    <w:rsid w:val="00E13E67"/>
    <w:rsid w:val="00E17816"/>
    <w:rsid w:val="00E25410"/>
    <w:rsid w:val="00E256A3"/>
    <w:rsid w:val="00E310AB"/>
    <w:rsid w:val="00E3553E"/>
    <w:rsid w:val="00E414BC"/>
    <w:rsid w:val="00E42983"/>
    <w:rsid w:val="00E45365"/>
    <w:rsid w:val="00E5204F"/>
    <w:rsid w:val="00E5222B"/>
    <w:rsid w:val="00E54D58"/>
    <w:rsid w:val="00E551FC"/>
    <w:rsid w:val="00E56E74"/>
    <w:rsid w:val="00E57A40"/>
    <w:rsid w:val="00E57D0E"/>
    <w:rsid w:val="00E6201C"/>
    <w:rsid w:val="00E620C4"/>
    <w:rsid w:val="00E64481"/>
    <w:rsid w:val="00E75AB5"/>
    <w:rsid w:val="00E810A6"/>
    <w:rsid w:val="00E92540"/>
    <w:rsid w:val="00E96F7A"/>
    <w:rsid w:val="00EA21F2"/>
    <w:rsid w:val="00EA2568"/>
    <w:rsid w:val="00EA69CF"/>
    <w:rsid w:val="00ED4186"/>
    <w:rsid w:val="00EF3A86"/>
    <w:rsid w:val="00EF3ECB"/>
    <w:rsid w:val="00EF59D2"/>
    <w:rsid w:val="00EF6617"/>
    <w:rsid w:val="00F1289C"/>
    <w:rsid w:val="00F25BD6"/>
    <w:rsid w:val="00F2605B"/>
    <w:rsid w:val="00F32AC4"/>
    <w:rsid w:val="00F32EF2"/>
    <w:rsid w:val="00F400BB"/>
    <w:rsid w:val="00F43D14"/>
    <w:rsid w:val="00F553E9"/>
    <w:rsid w:val="00F61658"/>
    <w:rsid w:val="00F626BE"/>
    <w:rsid w:val="00F65A84"/>
    <w:rsid w:val="00F7390E"/>
    <w:rsid w:val="00F7554B"/>
    <w:rsid w:val="00F766C8"/>
    <w:rsid w:val="00F76D71"/>
    <w:rsid w:val="00F81B25"/>
    <w:rsid w:val="00F81D34"/>
    <w:rsid w:val="00F83F9A"/>
    <w:rsid w:val="00F84CEB"/>
    <w:rsid w:val="00FA6F9F"/>
    <w:rsid w:val="00FA78EB"/>
    <w:rsid w:val="00FA7C8D"/>
    <w:rsid w:val="00FD6DB2"/>
    <w:rsid w:val="00FE0745"/>
    <w:rsid w:val="00FE1897"/>
    <w:rsid w:val="00FE1C80"/>
    <w:rsid w:val="00FE2C87"/>
    <w:rsid w:val="00FF3D61"/>
    <w:rsid w:val="00FF4998"/>
    <w:rsid w:val="025E0A81"/>
    <w:rsid w:val="43B302BF"/>
    <w:rsid w:val="4F127578"/>
    <w:rsid w:val="4FC55C6F"/>
    <w:rsid w:val="5FB6B2EA"/>
    <w:rsid w:val="726B51D8"/>
    <w:rsid w:val="7305594E"/>
    <w:rsid w:val="7F9F11B6"/>
    <w:rsid w:val="D9FB757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6"/>
    <w:qFormat/>
    <w:uiPriority w:val="9"/>
    <w:pPr>
      <w:keepNext/>
      <w:keepLines/>
      <w:spacing w:before="340" w:after="330" w:line="578" w:lineRule="auto"/>
      <w:outlineLvl w:val="0"/>
    </w:pPr>
    <w:rPr>
      <w:b/>
      <w:bCs/>
      <w:kern w:val="44"/>
      <w:sz w:val="44"/>
      <w:szCs w:val="44"/>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Document Map"/>
    <w:basedOn w:val="1"/>
    <w:link w:val="23"/>
    <w:semiHidden/>
    <w:unhideWhenUsed/>
    <w:qFormat/>
    <w:uiPriority w:val="99"/>
    <w:rPr>
      <w:rFonts w:ascii="宋体" w:eastAsia="宋体"/>
      <w:sz w:val="18"/>
      <w:szCs w:val="18"/>
    </w:rPr>
  </w:style>
  <w:style w:type="paragraph" w:styleId="4">
    <w:name w:val="annotation text"/>
    <w:basedOn w:val="1"/>
    <w:link w:val="21"/>
    <w:unhideWhenUsed/>
    <w:qFormat/>
    <w:uiPriority w:val="99"/>
    <w:pPr>
      <w:jc w:val="left"/>
    </w:pPr>
  </w:style>
  <w:style w:type="paragraph" w:styleId="5">
    <w:name w:val="Body Text"/>
    <w:basedOn w:val="1"/>
    <w:qFormat/>
    <w:uiPriority w:val="1"/>
    <w:pPr>
      <w:autoSpaceDE w:val="0"/>
      <w:autoSpaceDN w:val="0"/>
      <w:spacing w:before="61"/>
      <w:ind w:left="118" w:firstLine="559" w:firstLineChars="200"/>
    </w:pPr>
    <w:rPr>
      <w:rFonts w:ascii="仿宋" w:hAnsi="仿宋" w:eastAsia="仿宋" w:cs="仿宋"/>
      <w:sz w:val="28"/>
      <w:szCs w:val="28"/>
      <w:lang w:eastAsia="en-US"/>
    </w:rPr>
  </w:style>
  <w:style w:type="paragraph" w:styleId="6">
    <w:name w:val="Balloon Text"/>
    <w:basedOn w:val="1"/>
    <w:link w:val="18"/>
    <w:semiHidden/>
    <w:unhideWhenUsed/>
    <w:qFormat/>
    <w:uiPriority w:val="99"/>
    <w:rPr>
      <w:sz w:val="18"/>
      <w:szCs w:val="18"/>
    </w:rPr>
  </w:style>
  <w:style w:type="paragraph" w:styleId="7">
    <w:name w:val="footer"/>
    <w:basedOn w:val="1"/>
    <w:link w:val="20"/>
    <w:unhideWhenUsed/>
    <w:qFormat/>
    <w:uiPriority w:val="99"/>
    <w:pPr>
      <w:tabs>
        <w:tab w:val="center" w:pos="4153"/>
        <w:tab w:val="right" w:pos="8306"/>
      </w:tabs>
      <w:snapToGrid w:val="0"/>
      <w:jc w:val="left"/>
    </w:pPr>
    <w:rPr>
      <w:sz w:val="18"/>
      <w:szCs w:val="18"/>
    </w:rPr>
  </w:style>
  <w:style w:type="paragraph" w:styleId="8">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unhideWhenUsed/>
    <w:qFormat/>
    <w:uiPriority w:val="39"/>
    <w:pPr>
      <w:widowControl/>
      <w:spacing w:after="160" w:line="259" w:lineRule="auto"/>
      <w:jc w:val="left"/>
    </w:pPr>
    <w:rPr>
      <w:rFonts w:ascii="Calibri" w:hAnsi="Calibri" w:eastAsia="等线" w:cs="Times New Roman"/>
      <w:kern w:val="0"/>
      <w:sz w:val="22"/>
    </w:rPr>
  </w:style>
  <w:style w:type="paragraph" w:styleId="10">
    <w:name w:val="annotation subject"/>
    <w:basedOn w:val="4"/>
    <w:next w:val="4"/>
    <w:link w:val="22"/>
    <w:semiHidden/>
    <w:unhideWhenUsed/>
    <w:qFormat/>
    <w:uiPriority w:val="99"/>
    <w:rPr>
      <w:b/>
      <w:bCs/>
    </w:rPr>
  </w:style>
  <w:style w:type="character" w:styleId="13">
    <w:name w:val="Hyperlink"/>
    <w:basedOn w:val="12"/>
    <w:unhideWhenUsed/>
    <w:qFormat/>
    <w:uiPriority w:val="99"/>
    <w:rPr>
      <w:color w:val="0563C1" w:themeColor="hyperlink"/>
      <w:u w:val="single"/>
      <w14:textFill>
        <w14:solidFill>
          <w14:schemeClr w14:val="hlink"/>
        </w14:solidFill>
      </w14:textFill>
    </w:rPr>
  </w:style>
  <w:style w:type="character" w:styleId="14">
    <w:name w:val="annotation reference"/>
    <w:basedOn w:val="12"/>
    <w:semiHidden/>
    <w:unhideWhenUsed/>
    <w:qFormat/>
    <w:uiPriority w:val="99"/>
    <w:rPr>
      <w:sz w:val="21"/>
      <w:szCs w:val="21"/>
    </w:rPr>
  </w:style>
  <w:style w:type="paragraph" w:customStyle="1" w:styleId="15">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character" w:customStyle="1" w:styleId="16">
    <w:name w:val="标题 1 字符"/>
    <w:basedOn w:val="12"/>
    <w:link w:val="2"/>
    <w:qFormat/>
    <w:uiPriority w:val="9"/>
    <w:rPr>
      <w:b/>
      <w:bCs/>
      <w:kern w:val="44"/>
      <w:sz w:val="44"/>
      <w:szCs w:val="44"/>
    </w:rPr>
  </w:style>
  <w:style w:type="paragraph" w:customStyle="1" w:styleId="17">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18">
    <w:name w:val="批注框文本 字符"/>
    <w:basedOn w:val="12"/>
    <w:link w:val="6"/>
    <w:semiHidden/>
    <w:qFormat/>
    <w:uiPriority w:val="99"/>
    <w:rPr>
      <w:sz w:val="18"/>
      <w:szCs w:val="18"/>
    </w:rPr>
  </w:style>
  <w:style w:type="character" w:customStyle="1" w:styleId="19">
    <w:name w:val="页眉 字符"/>
    <w:basedOn w:val="12"/>
    <w:link w:val="8"/>
    <w:qFormat/>
    <w:uiPriority w:val="99"/>
    <w:rPr>
      <w:sz w:val="18"/>
      <w:szCs w:val="18"/>
    </w:rPr>
  </w:style>
  <w:style w:type="character" w:customStyle="1" w:styleId="20">
    <w:name w:val="页脚 字符"/>
    <w:basedOn w:val="12"/>
    <w:link w:val="7"/>
    <w:qFormat/>
    <w:uiPriority w:val="99"/>
    <w:rPr>
      <w:sz w:val="18"/>
      <w:szCs w:val="18"/>
    </w:rPr>
  </w:style>
  <w:style w:type="character" w:customStyle="1" w:styleId="21">
    <w:name w:val="批注文字 字符"/>
    <w:basedOn w:val="12"/>
    <w:link w:val="4"/>
    <w:qFormat/>
    <w:uiPriority w:val="99"/>
  </w:style>
  <w:style w:type="character" w:customStyle="1" w:styleId="22">
    <w:name w:val="批注主题 字符"/>
    <w:basedOn w:val="21"/>
    <w:link w:val="10"/>
    <w:semiHidden/>
    <w:qFormat/>
    <w:uiPriority w:val="99"/>
    <w:rPr>
      <w:b/>
      <w:bCs/>
    </w:rPr>
  </w:style>
  <w:style w:type="character" w:customStyle="1" w:styleId="23">
    <w:name w:val="文档结构图 字符"/>
    <w:basedOn w:val="12"/>
    <w:link w:val="3"/>
    <w:semiHidden/>
    <w:qFormat/>
    <w:uiPriority w:val="99"/>
    <w:rPr>
      <w:rFonts w:ascii="宋体" w:eastAsia="宋体"/>
      <w:sz w:val="18"/>
      <w:szCs w:val="18"/>
    </w:rPr>
  </w:style>
  <w:style w:type="paragraph" w:styleId="24">
    <w:name w:val="List Paragraph"/>
    <w:basedOn w:val="1"/>
    <w:qFormat/>
    <w:uiPriority w:val="34"/>
    <w:pPr>
      <w:ind w:left="720"/>
      <w:contextualSpacing/>
    </w:pPr>
  </w:style>
  <w:style w:type="paragraph" w:customStyle="1" w:styleId="25">
    <w:name w:val="Revision"/>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919</Words>
  <Characters>5242</Characters>
  <Lines>43</Lines>
  <Paragraphs>12</Paragraphs>
  <TotalTime>112</TotalTime>
  <ScaleCrop>false</ScaleCrop>
  <LinksUpToDate>false</LinksUpToDate>
  <CharactersWithSpaces>6149</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2022-10-20T06:53:00Z</dcterms:created>
  <dc:creator>陈硕夫</dc:creator>
  <cp:lastModifiedBy>huangyn</cp:lastModifiedBy>
  <cp:lastPrinted>2021-12-08T00:48:00Z</cp:lastPrinted>
  <dcterms:modified xsi:type="dcterms:W3CDTF">2022-12-30T15:27:24Z</dcterms:modified>
  <dc:title>关于固定收益品种的估值处理标准</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BE9D36EEE35D48809CF10AD484DEB411</vt:lpwstr>
  </property>
</Properties>
</file>