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line="540" w:lineRule="exact"/>
        <w:jc w:val="center"/>
        <w:outlineLvl w:val="0"/>
        <w:rPr>
          <w:rFonts w:hint="eastAsia" w:ascii="华文中宋" w:hAnsi="华文中宋" w:eastAsia="华文中宋"/>
          <w:b/>
          <w:sz w:val="36"/>
          <w:szCs w:val="36"/>
        </w:rPr>
      </w:pPr>
      <w:bookmarkStart w:id="2" w:name="_GoBack"/>
      <w:bookmarkEnd w:id="2"/>
      <w:r>
        <w:rPr>
          <w:rFonts w:hint="eastAsia" w:ascii="华文中宋" w:hAnsi="华文中宋" w:eastAsia="华文中宋"/>
          <w:b/>
          <w:sz w:val="36"/>
          <w:szCs w:val="36"/>
        </w:rPr>
        <w:t>证券期货科学技术奖励管理办法</w:t>
      </w:r>
    </w:p>
    <w:p>
      <w:pPr>
        <w:spacing w:afterLines="0" w:line="540" w:lineRule="exact"/>
        <w:jc w:val="center"/>
        <w:outlineLvl w:val="0"/>
        <w:rPr>
          <w:rFonts w:hint="eastAsia" w:ascii="华文中宋" w:hAnsi="华文中宋" w:eastAsia="华文中宋"/>
          <w:b/>
          <w:sz w:val="36"/>
          <w:szCs w:val="36"/>
          <w:lang w:eastAsia="zh-CN"/>
        </w:rPr>
      </w:pPr>
      <w:r>
        <w:rPr>
          <w:rFonts w:hint="eastAsia" w:ascii="华文中宋" w:hAnsi="华文中宋" w:eastAsia="华文中宋"/>
          <w:b/>
          <w:sz w:val="36"/>
          <w:szCs w:val="36"/>
          <w:lang w:eastAsia="zh-CN"/>
        </w:rPr>
        <w:t>（征求意见稿）</w:t>
      </w:r>
    </w:p>
    <w:p>
      <w:pPr>
        <w:snapToGrid w:val="0"/>
        <w:spacing w:afterLines="0" w:line="540" w:lineRule="exact"/>
        <w:jc w:val="center"/>
        <w:rPr>
          <w:rFonts w:ascii="华文仿宋" w:hAnsi="华文仿宋" w:eastAsia="华文仿宋"/>
          <w:b/>
          <w:sz w:val="28"/>
        </w:rPr>
      </w:pPr>
    </w:p>
    <w:p>
      <w:pPr>
        <w:spacing w:afterLines="0" w:line="540" w:lineRule="exact"/>
        <w:jc w:val="center"/>
        <w:outlineLvl w:val="0"/>
        <w:rPr>
          <w:rFonts w:ascii="仿宋_GB2312" w:hAnsi="华文仿宋"/>
          <w:b/>
          <w:szCs w:val="32"/>
        </w:rPr>
      </w:pPr>
      <w:r>
        <w:rPr>
          <w:rFonts w:hint="eastAsia" w:ascii="仿宋_GB2312" w:hAnsi="华文仿宋"/>
          <w:b/>
          <w:szCs w:val="32"/>
        </w:rPr>
        <w:t>第</w:t>
      </w:r>
      <w:r>
        <w:rPr>
          <w:rFonts w:hint="eastAsia" w:ascii="仿宋_GB2312" w:hAnsi="华文仿宋"/>
          <w:b/>
          <w:szCs w:val="32"/>
          <w:lang w:eastAsia="zh-CN"/>
        </w:rPr>
        <w:t>一</w:t>
      </w:r>
      <w:r>
        <w:rPr>
          <w:rFonts w:hint="eastAsia" w:ascii="仿宋_GB2312" w:hAnsi="华文仿宋"/>
          <w:b/>
          <w:szCs w:val="32"/>
        </w:rPr>
        <w:t>章 总  则</w:t>
      </w:r>
    </w:p>
    <w:p>
      <w:pPr>
        <w:snapToGrid w:val="0"/>
        <w:spacing w:afterLines="0" w:line="540" w:lineRule="exact"/>
        <w:ind w:firstLine="642" w:firstLineChars="200"/>
        <w:rPr>
          <w:rFonts w:hint="eastAsia" w:ascii="仿宋_GB2312" w:hAnsi="华文仿宋"/>
          <w:szCs w:val="32"/>
        </w:rPr>
      </w:pPr>
      <w:r>
        <w:rPr>
          <w:rFonts w:hint="eastAsia" w:ascii="仿宋_GB2312" w:hAnsi="华文仿宋"/>
          <w:b/>
          <w:szCs w:val="32"/>
          <w:lang w:eastAsia="zh-CN"/>
        </w:rPr>
        <w:t>第一条</w:t>
      </w:r>
      <w:r>
        <w:rPr>
          <w:rFonts w:hint="eastAsia" w:ascii="仿宋_GB2312" w:hAnsi="华文仿宋"/>
          <w:szCs w:val="32"/>
          <w:highlight w:val="none"/>
          <w:lang w:val="en-US" w:eastAsia="zh-CN"/>
        </w:rPr>
        <w:t xml:space="preserve"> </w:t>
      </w:r>
      <w:r>
        <w:rPr>
          <w:rFonts w:hint="eastAsia" w:ascii="仿宋_GB2312" w:hAnsi="华文仿宋"/>
          <w:szCs w:val="32"/>
          <w:highlight w:val="none"/>
        </w:rPr>
        <w:t>为</w:t>
      </w:r>
      <w:r>
        <w:rPr>
          <w:rFonts w:hint="eastAsia" w:ascii="仿宋_GB2312" w:hAnsi="华文仿宋"/>
          <w:szCs w:val="32"/>
          <w:highlight w:val="none"/>
          <w:lang w:eastAsia="zh-CN"/>
        </w:rPr>
        <w:t>贯彻科技强国战略，加快科技创新步伐，</w:t>
      </w:r>
      <w:r>
        <w:rPr>
          <w:rFonts w:hint="eastAsia" w:ascii="仿宋_GB2312" w:hAnsi="华文仿宋"/>
          <w:szCs w:val="32"/>
          <w:highlight w:val="none"/>
        </w:rPr>
        <w:t>促进</w:t>
      </w:r>
      <w:r>
        <w:rPr>
          <w:rFonts w:hint="eastAsia" w:ascii="仿宋_GB2312" w:hAnsi="华文仿宋"/>
          <w:szCs w:val="32"/>
          <w:highlight w:val="none"/>
          <w:lang w:eastAsia="zh-CN"/>
        </w:rPr>
        <w:t>证券期货</w:t>
      </w:r>
      <w:r>
        <w:rPr>
          <w:rFonts w:hint="eastAsia" w:ascii="仿宋_GB2312" w:hAnsi="华文仿宋"/>
          <w:szCs w:val="32"/>
          <w:highlight w:val="none"/>
        </w:rPr>
        <w:t>业科学技术的进步与发展，</w:t>
      </w:r>
      <w:r>
        <w:rPr>
          <w:rFonts w:hint="eastAsia" w:ascii="仿宋_GB2312" w:hAnsi="华文仿宋" w:eastAsia="仿宋_GB2312" w:cs="Times New Roman"/>
          <w:i w:val="0"/>
          <w:iCs w:val="0"/>
          <w:caps w:val="0"/>
          <w:spacing w:val="0"/>
          <w:sz w:val="32"/>
          <w:szCs w:val="32"/>
          <w:highlight w:val="none"/>
          <w:shd w:val="clear"/>
        </w:rPr>
        <w:t>推动科技创新支撑</w:t>
      </w:r>
      <w:r>
        <w:rPr>
          <w:rFonts w:hint="eastAsia" w:ascii="仿宋_GB2312" w:hAnsi="华文仿宋" w:cs="Times New Roman"/>
          <w:i w:val="0"/>
          <w:iCs w:val="0"/>
          <w:caps w:val="0"/>
          <w:spacing w:val="0"/>
          <w:sz w:val="32"/>
          <w:szCs w:val="32"/>
          <w:highlight w:val="none"/>
          <w:shd w:val="clear"/>
          <w:lang w:val="en-US" w:eastAsia="zh-CN"/>
        </w:rPr>
        <w:t>,</w:t>
      </w:r>
      <w:r>
        <w:rPr>
          <w:rFonts w:hint="eastAsia" w:ascii="仿宋_GB2312" w:hAnsi="华文仿宋" w:eastAsia="仿宋_GB2312" w:cs="Times New Roman"/>
          <w:i w:val="0"/>
          <w:iCs w:val="0"/>
          <w:caps w:val="0"/>
          <w:spacing w:val="0"/>
          <w:sz w:val="32"/>
          <w:szCs w:val="32"/>
          <w:highlight w:val="none"/>
          <w:shd w:val="clear"/>
        </w:rPr>
        <w:t>引领经济社会发展</w:t>
      </w:r>
      <w:r>
        <w:rPr>
          <w:rFonts w:hint="eastAsia" w:ascii="仿宋_GB2312" w:hAnsi="华文仿宋" w:eastAsia="仿宋_GB2312" w:cs="Times New Roman"/>
          <w:i w:val="0"/>
          <w:iCs w:val="0"/>
          <w:caps w:val="0"/>
          <w:spacing w:val="0"/>
          <w:sz w:val="32"/>
          <w:szCs w:val="32"/>
          <w:highlight w:val="none"/>
          <w:shd w:val="clear"/>
          <w:lang w:eastAsia="zh-CN"/>
        </w:rPr>
        <w:t>，</w:t>
      </w:r>
      <w:r>
        <w:rPr>
          <w:rFonts w:hint="eastAsia" w:ascii="仿宋_GB2312" w:hAnsi="华文仿宋"/>
          <w:szCs w:val="32"/>
        </w:rPr>
        <w:t>奖励在</w:t>
      </w:r>
      <w:r>
        <w:rPr>
          <w:rFonts w:hint="eastAsia" w:ascii="仿宋_GB2312" w:hAnsi="华文仿宋"/>
          <w:szCs w:val="32"/>
          <w:lang w:eastAsia="zh-CN"/>
        </w:rPr>
        <w:t>证券期货</w:t>
      </w:r>
      <w:r>
        <w:rPr>
          <w:rFonts w:hint="eastAsia" w:ascii="仿宋_GB2312" w:hAnsi="华文仿宋"/>
          <w:szCs w:val="32"/>
        </w:rPr>
        <w:t>业科学技术活动中做出突出贡献的成果，依据</w:t>
      </w:r>
      <w:r>
        <w:rPr>
          <w:rFonts w:hint="eastAsia" w:ascii="仿宋_GB2312" w:hAnsi="华文仿宋"/>
          <w:szCs w:val="32"/>
          <w:lang w:eastAsia="zh-CN"/>
        </w:rPr>
        <w:t>《科学技术进步法》</w:t>
      </w:r>
      <w:r>
        <w:rPr>
          <w:rFonts w:hint="eastAsia" w:ascii="仿宋_GB2312" w:hAnsi="华文仿宋"/>
          <w:szCs w:val="32"/>
        </w:rPr>
        <w:t>《国家科学技术奖励条例》和《社会力量设立科学技术奖管理办法》的有关规定，制定本办法。</w:t>
      </w:r>
    </w:p>
    <w:p>
      <w:pPr>
        <w:numPr>
          <w:ilvl w:val="0"/>
          <w:numId w:val="1"/>
        </w:numPr>
        <w:snapToGrid w:val="0"/>
        <w:spacing w:afterLines="0" w:line="540" w:lineRule="exact"/>
        <w:ind w:firstLine="640" w:firstLineChars="200"/>
        <w:rPr>
          <w:rFonts w:hint="eastAsia" w:ascii="仿宋_GB2312" w:hAnsi="华文仿宋"/>
          <w:szCs w:val="32"/>
          <w:lang w:eastAsia="zh-CN"/>
        </w:rPr>
      </w:pPr>
      <w:r>
        <w:rPr>
          <w:rFonts w:hint="eastAsia" w:ascii="仿宋_GB2312" w:hAnsi="华文仿宋"/>
          <w:szCs w:val="32"/>
        </w:rPr>
        <w:t>经国家科技奖励主管部门批准，设立</w:t>
      </w:r>
      <w:r>
        <w:rPr>
          <w:rFonts w:hint="eastAsia" w:ascii="仿宋_GB2312" w:hAnsi="华文仿宋"/>
          <w:szCs w:val="32"/>
          <w:lang w:eastAsia="zh-CN"/>
        </w:rPr>
        <w:t>证券期货</w:t>
      </w:r>
      <w:r>
        <w:rPr>
          <w:rFonts w:hint="eastAsia" w:ascii="仿宋_GB2312" w:hAnsi="华文仿宋"/>
          <w:szCs w:val="32"/>
        </w:rPr>
        <w:t>科学技术奖（以下简称“行业科技奖”），设奖者为中国证券业协会、中国期货业协会和中国证券投资基金业协会。</w:t>
      </w:r>
    </w:p>
    <w:p>
      <w:pPr>
        <w:numPr>
          <w:ilvl w:val="0"/>
          <w:numId w:val="1"/>
        </w:numPr>
        <w:snapToGrid w:val="0"/>
        <w:spacing w:afterLines="0" w:line="540" w:lineRule="exact"/>
        <w:ind w:firstLine="640" w:firstLineChars="200"/>
        <w:rPr>
          <w:rFonts w:ascii="仿宋_GB2312" w:hAnsi="华文仿宋"/>
          <w:szCs w:val="32"/>
        </w:rPr>
      </w:pPr>
      <w:r>
        <w:rPr>
          <w:rFonts w:hint="eastAsia" w:ascii="仿宋_GB2312" w:hAnsi="华文仿宋"/>
          <w:szCs w:val="32"/>
        </w:rPr>
        <w:t>行业科技奖的申报、评审和授奖，遵循“公开、公平、公正”的原则，确保行业科技奖工作的严肃性和权威性。</w:t>
      </w:r>
    </w:p>
    <w:p>
      <w:pPr>
        <w:numPr>
          <w:ilvl w:val="0"/>
          <w:numId w:val="1"/>
        </w:numPr>
        <w:snapToGrid w:val="0"/>
        <w:spacing w:afterLines="0" w:line="540" w:lineRule="exact"/>
        <w:ind w:firstLine="640" w:firstLineChars="200"/>
        <w:rPr>
          <w:rFonts w:ascii="仿宋_GB2312" w:hAnsi="华文仿宋"/>
          <w:szCs w:val="32"/>
        </w:rPr>
      </w:pPr>
      <w:r>
        <w:rPr>
          <w:rFonts w:hint="eastAsia" w:ascii="仿宋_GB2312" w:hAnsi="华文仿宋"/>
          <w:szCs w:val="32"/>
        </w:rPr>
        <w:t>行业科技奖贯彻“尊重知识、尊重人才”的方针，遵循精神奖励与物质奖励相结合的原则。科学技术奖励经费依据有关要求筹集，经费的使用应符合相关财务管理制度的规定。</w:t>
      </w:r>
    </w:p>
    <w:p>
      <w:pPr>
        <w:numPr>
          <w:ilvl w:val="0"/>
          <w:numId w:val="1"/>
        </w:numPr>
        <w:snapToGrid w:val="0"/>
        <w:spacing w:afterLines="0" w:line="540" w:lineRule="exact"/>
        <w:ind w:firstLine="640" w:firstLineChars="200"/>
        <w:rPr>
          <w:rFonts w:ascii="仿宋_GB2312" w:hAnsi="华文仿宋"/>
          <w:szCs w:val="32"/>
        </w:rPr>
      </w:pPr>
      <w:r>
        <w:rPr>
          <w:rFonts w:hint="eastAsia" w:ascii="仿宋_GB2312" w:hAnsi="华文仿宋"/>
          <w:szCs w:val="32"/>
        </w:rPr>
        <w:t>行业科技奖办奖周期为两年一届,由中国证券业协会、中国期货业协会和中国证券投资基金业协会轮流</w:t>
      </w:r>
      <w:r>
        <w:rPr>
          <w:rFonts w:ascii="仿宋_GB2312" w:hAnsi="华文仿宋"/>
          <w:szCs w:val="32"/>
        </w:rPr>
        <w:t>主办</w:t>
      </w:r>
      <w:r>
        <w:rPr>
          <w:rFonts w:hint="eastAsia" w:ascii="仿宋_GB2312" w:hAnsi="华文仿宋"/>
          <w:szCs w:val="32"/>
        </w:rPr>
        <w:t>。</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行业科技奖评审工作包括制定方案、申报项目、遴选专家、形式审查、初审、复审、终审、专项审计等环节。初审和复审可根据评审项目数量、学科、应用对象等情况分组开展。</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行业科技奖励工作接受国家科学技术奖励工作办公室的监督和管理，并接受中国证监会的指导和协调。</w:t>
      </w:r>
    </w:p>
    <w:p>
      <w:pPr>
        <w:snapToGrid w:val="0"/>
        <w:spacing w:afterLines="0" w:line="540" w:lineRule="exact"/>
        <w:ind w:firstLine="640" w:firstLineChars="200"/>
        <w:rPr>
          <w:rFonts w:ascii="仿宋_GB2312" w:hAnsi="华文仿宋"/>
          <w:szCs w:val="32"/>
        </w:rPr>
      </w:pPr>
    </w:p>
    <w:p>
      <w:pPr>
        <w:spacing w:afterLines="0" w:line="540" w:lineRule="exact"/>
        <w:jc w:val="center"/>
        <w:outlineLvl w:val="0"/>
        <w:rPr>
          <w:rFonts w:hint="eastAsia" w:ascii="仿宋_GB2312" w:hAnsi="华文仿宋"/>
          <w:b/>
          <w:szCs w:val="32"/>
        </w:rPr>
      </w:pPr>
      <w:r>
        <w:rPr>
          <w:rFonts w:hint="eastAsia" w:ascii="仿宋_GB2312" w:hAnsi="华文仿宋"/>
          <w:b/>
          <w:szCs w:val="32"/>
        </w:rPr>
        <w:t>第二章 奖励范围和评审标准</w:t>
      </w:r>
    </w:p>
    <w:p>
      <w:pPr>
        <w:numPr>
          <w:ilvl w:val="0"/>
          <w:numId w:val="1"/>
        </w:numPr>
        <w:snapToGrid w:val="0"/>
        <w:spacing w:afterLines="0" w:line="540" w:lineRule="exact"/>
        <w:ind w:firstLine="640" w:firstLineChars="200"/>
        <w:rPr>
          <w:rFonts w:ascii="仿宋_GB2312" w:hAnsi="华文仿宋"/>
          <w:szCs w:val="32"/>
        </w:rPr>
      </w:pPr>
      <w:r>
        <w:rPr>
          <w:rFonts w:hint="eastAsia" w:ascii="仿宋_GB2312" w:hAnsi="华文仿宋"/>
          <w:szCs w:val="32"/>
        </w:rPr>
        <w:t>行业科技奖旨在奖励</w:t>
      </w:r>
      <w:r>
        <w:rPr>
          <w:rFonts w:hint="default" w:ascii="仿宋_GB2312" w:hAnsi="华文仿宋"/>
          <w:szCs w:val="32"/>
          <w:lang w:eastAsia="zh-CN"/>
        </w:rPr>
        <w:t>证券期货</w:t>
      </w:r>
      <w:r>
        <w:rPr>
          <w:rFonts w:hint="eastAsia" w:ascii="仿宋_GB2312" w:hAnsi="华文仿宋"/>
          <w:szCs w:val="32"/>
        </w:rPr>
        <w:t>业参与各方在</w:t>
      </w:r>
      <w:r>
        <w:rPr>
          <w:rFonts w:hint="default" w:ascii="仿宋_GB2312" w:hAnsi="华文仿宋"/>
          <w:szCs w:val="32"/>
          <w:lang w:eastAsia="zh-CN"/>
        </w:rPr>
        <w:t>证券期货</w:t>
      </w:r>
      <w:r>
        <w:rPr>
          <w:rFonts w:hint="eastAsia" w:ascii="仿宋_GB2312" w:hAnsi="华文仿宋"/>
          <w:szCs w:val="32"/>
        </w:rPr>
        <w:t>市场创新、发展、安全、管理等各个方面取得的科技成果：</w:t>
      </w:r>
    </w:p>
    <w:p>
      <w:pPr>
        <w:snapToGrid w:val="0"/>
        <w:spacing w:afterLines="0" w:line="540" w:lineRule="exact"/>
        <w:ind w:firstLine="640" w:firstLineChars="200"/>
        <w:rPr>
          <w:rFonts w:ascii="仿宋_GB2312" w:hAnsi="华文仿宋"/>
          <w:szCs w:val="32"/>
        </w:rPr>
      </w:pPr>
      <w:r>
        <w:rPr>
          <w:rFonts w:hint="eastAsia" w:ascii="仿宋_GB2312" w:hAnsi="华文仿宋"/>
          <w:szCs w:val="32"/>
        </w:rPr>
        <w:t>（一）科研产品；</w:t>
      </w:r>
    </w:p>
    <w:p>
      <w:pPr>
        <w:snapToGrid w:val="0"/>
        <w:spacing w:afterLines="0" w:line="540" w:lineRule="exact"/>
        <w:ind w:firstLine="640" w:firstLineChars="200"/>
        <w:rPr>
          <w:rFonts w:ascii="仿宋_GB2312" w:hAnsi="华文仿宋"/>
          <w:szCs w:val="32"/>
        </w:rPr>
      </w:pPr>
      <w:r>
        <w:rPr>
          <w:rFonts w:hint="eastAsia" w:ascii="仿宋_GB2312" w:hAnsi="华文仿宋"/>
          <w:szCs w:val="32"/>
        </w:rPr>
        <w:t>（二）先进技术</w:t>
      </w:r>
      <w:r>
        <w:rPr>
          <w:rFonts w:ascii="仿宋_GB2312" w:hAnsi="华文仿宋"/>
          <w:szCs w:val="32"/>
        </w:rPr>
        <w:t>；</w:t>
      </w:r>
      <w:r>
        <w:rPr>
          <w:rFonts w:hint="eastAsia" w:ascii="仿宋_GB2312" w:hAnsi="华文仿宋"/>
          <w:szCs w:val="32"/>
        </w:rPr>
        <w:t xml:space="preserve"> </w:t>
      </w:r>
    </w:p>
    <w:p>
      <w:pPr>
        <w:snapToGrid w:val="0"/>
        <w:spacing w:afterLines="0" w:line="540" w:lineRule="exact"/>
        <w:ind w:firstLine="640" w:firstLineChars="200"/>
        <w:rPr>
          <w:rFonts w:ascii="仿宋_GB2312" w:hAnsi="华文仿宋"/>
          <w:szCs w:val="32"/>
        </w:rPr>
      </w:pPr>
      <w:r>
        <w:rPr>
          <w:rFonts w:hint="eastAsia" w:ascii="仿宋_GB2312" w:hAnsi="华文仿宋"/>
          <w:szCs w:val="32"/>
        </w:rPr>
        <w:t>（三）工程项目；</w:t>
      </w:r>
    </w:p>
    <w:p>
      <w:pPr>
        <w:snapToGrid w:val="0"/>
        <w:spacing w:afterLines="0" w:line="540" w:lineRule="exact"/>
        <w:ind w:firstLine="640" w:firstLineChars="200"/>
        <w:rPr>
          <w:rFonts w:ascii="仿宋_GB2312" w:hAnsi="华文仿宋"/>
          <w:szCs w:val="32"/>
        </w:rPr>
      </w:pPr>
      <w:r>
        <w:rPr>
          <w:rFonts w:hint="eastAsia" w:ascii="仿宋_GB2312" w:hAnsi="华文仿宋"/>
          <w:szCs w:val="32"/>
        </w:rPr>
        <w:t>（四）技术标准；</w:t>
      </w:r>
    </w:p>
    <w:p>
      <w:pPr>
        <w:snapToGrid w:val="0"/>
        <w:spacing w:afterLines="0" w:line="540" w:lineRule="exact"/>
        <w:ind w:firstLine="640" w:firstLineChars="200"/>
        <w:rPr>
          <w:rFonts w:ascii="仿宋_GB2312" w:hAnsi="华文仿宋"/>
          <w:szCs w:val="32"/>
        </w:rPr>
      </w:pPr>
      <w:r>
        <w:rPr>
          <w:rFonts w:hint="eastAsia" w:ascii="仿宋_GB2312" w:hAnsi="华文仿宋"/>
          <w:szCs w:val="32"/>
        </w:rPr>
        <w:t>（五）科技专著；</w:t>
      </w:r>
    </w:p>
    <w:p>
      <w:pPr>
        <w:snapToGrid w:val="0"/>
        <w:spacing w:afterLines="0" w:line="540" w:lineRule="exact"/>
        <w:ind w:firstLine="640" w:firstLineChars="200"/>
        <w:rPr>
          <w:rFonts w:ascii="仿宋_GB2312" w:hAnsi="华文仿宋"/>
          <w:szCs w:val="32"/>
        </w:rPr>
      </w:pPr>
      <w:r>
        <w:rPr>
          <w:rFonts w:hint="eastAsia" w:ascii="仿宋_GB2312" w:hAnsi="华文仿宋"/>
          <w:szCs w:val="32"/>
        </w:rPr>
        <w:t>（六）其他</w:t>
      </w:r>
      <w:r>
        <w:rPr>
          <w:rFonts w:hint="eastAsia" w:ascii="仿宋_GB2312" w:hAnsi="华文仿宋"/>
          <w:szCs w:val="32"/>
          <w:lang w:eastAsia="zh-CN"/>
        </w:rPr>
        <w:t>证券期货</w:t>
      </w:r>
      <w:r>
        <w:rPr>
          <w:rFonts w:ascii="仿宋_GB2312" w:hAnsi="华文仿宋"/>
          <w:szCs w:val="32"/>
        </w:rPr>
        <w:t>业科学技术成果。</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下列科技成果不予申报行业科技奖：</w:t>
      </w:r>
    </w:p>
    <w:p>
      <w:pPr>
        <w:snapToGrid w:val="0"/>
        <w:spacing w:afterLines="0" w:line="540" w:lineRule="exact"/>
        <w:ind w:firstLine="640" w:firstLineChars="200"/>
        <w:rPr>
          <w:rFonts w:ascii="仿宋_GB2312" w:hAnsi="华文仿宋"/>
          <w:szCs w:val="32"/>
        </w:rPr>
      </w:pPr>
      <w:r>
        <w:rPr>
          <w:rFonts w:hint="eastAsia" w:ascii="仿宋_GB2312" w:hAnsi="华文仿宋"/>
          <w:szCs w:val="32"/>
        </w:rPr>
        <w:t>（一）已获国家科学技术奖励的；</w:t>
      </w:r>
    </w:p>
    <w:p>
      <w:pPr>
        <w:snapToGrid w:val="0"/>
        <w:spacing w:afterLines="0" w:line="540" w:lineRule="exact"/>
        <w:ind w:firstLine="640" w:firstLineChars="200"/>
        <w:rPr>
          <w:rFonts w:ascii="仿宋_GB2312" w:hAnsi="华文仿宋"/>
          <w:szCs w:val="32"/>
        </w:rPr>
      </w:pPr>
      <w:r>
        <w:rPr>
          <w:rFonts w:hint="eastAsia" w:ascii="仿宋_GB2312" w:hAnsi="华文仿宋"/>
          <w:szCs w:val="32"/>
        </w:rPr>
        <w:t>（二）已获行业科技奖一、二、三等奖的，或其它行业省部级科学技术奖励二等奖（含）以上的；</w:t>
      </w:r>
    </w:p>
    <w:p>
      <w:pPr>
        <w:snapToGrid w:val="0"/>
        <w:spacing w:afterLines="0" w:line="540" w:lineRule="exact"/>
        <w:ind w:firstLine="640" w:firstLineChars="200"/>
        <w:rPr>
          <w:rFonts w:ascii="仿宋_GB2312" w:hAnsi="华文仿宋"/>
          <w:szCs w:val="32"/>
        </w:rPr>
      </w:pPr>
      <w:r>
        <w:rPr>
          <w:rFonts w:hint="eastAsia" w:ascii="仿宋_GB2312" w:hAnsi="华文仿宋"/>
          <w:szCs w:val="32"/>
        </w:rPr>
        <w:t>（三）存在知识产权、完成人、完成单位等方面争议，且争议尚未解决的；</w:t>
      </w:r>
    </w:p>
    <w:p>
      <w:pPr>
        <w:snapToGrid w:val="0"/>
        <w:spacing w:afterLines="0" w:line="540" w:lineRule="exact"/>
        <w:ind w:firstLine="640" w:firstLineChars="200"/>
        <w:rPr>
          <w:rFonts w:ascii="仿宋_GB2312" w:hAnsi="华文仿宋"/>
          <w:szCs w:val="32"/>
        </w:rPr>
      </w:pPr>
      <w:r>
        <w:rPr>
          <w:rFonts w:hint="eastAsia" w:ascii="仿宋_GB2312" w:hAnsi="华文仿宋"/>
          <w:szCs w:val="32"/>
        </w:rPr>
        <w:t>（四）</w:t>
      </w:r>
      <w:r>
        <w:rPr>
          <w:rFonts w:hint="eastAsia" w:ascii="仿宋_GB2312" w:hAnsi="华文仿宋"/>
          <w:szCs w:val="32"/>
          <w:lang w:eastAsia="zh-CN"/>
        </w:rPr>
        <w:t>申报时，</w:t>
      </w:r>
      <w:r>
        <w:rPr>
          <w:rFonts w:hint="eastAsia" w:ascii="仿宋_GB2312" w:hAnsi="华文仿宋"/>
          <w:szCs w:val="32"/>
        </w:rPr>
        <w:t>产品、技术或工程项目投入使用、正式上线应用</w:t>
      </w:r>
      <w:r>
        <w:rPr>
          <w:rFonts w:ascii="仿宋_GB2312" w:hAnsi="华文仿宋"/>
          <w:szCs w:val="32"/>
        </w:rPr>
        <w:t>不足</w:t>
      </w:r>
      <w:r>
        <w:rPr>
          <w:rFonts w:hint="eastAsia" w:ascii="仿宋_GB2312" w:hAnsi="华文仿宋"/>
          <w:szCs w:val="32"/>
          <w:lang w:val="en-US" w:eastAsia="zh-CN"/>
        </w:rPr>
        <w:t>6</w:t>
      </w:r>
      <w:r>
        <w:rPr>
          <w:rFonts w:hint="eastAsia" w:ascii="仿宋_GB2312" w:hAnsi="华文仿宋"/>
          <w:szCs w:val="32"/>
        </w:rPr>
        <w:t>个月</w:t>
      </w:r>
      <w:r>
        <w:rPr>
          <w:rFonts w:ascii="仿宋_GB2312" w:hAnsi="华文仿宋"/>
          <w:szCs w:val="32"/>
        </w:rPr>
        <w:t>的</w:t>
      </w:r>
      <w:r>
        <w:rPr>
          <w:rFonts w:hint="eastAsia" w:ascii="仿宋_GB2312" w:hAnsi="华文仿宋"/>
          <w:szCs w:val="32"/>
        </w:rPr>
        <w:t>；标准和著作</w:t>
      </w:r>
      <w:r>
        <w:rPr>
          <w:rFonts w:ascii="仿宋_GB2312" w:hAnsi="华文仿宋"/>
          <w:szCs w:val="32"/>
        </w:rPr>
        <w:t>正式</w:t>
      </w:r>
      <w:r>
        <w:rPr>
          <w:rFonts w:hint="eastAsia" w:ascii="仿宋_GB2312" w:hAnsi="华文仿宋"/>
          <w:szCs w:val="32"/>
        </w:rPr>
        <w:t>出版、</w:t>
      </w:r>
      <w:r>
        <w:rPr>
          <w:rFonts w:ascii="仿宋_GB2312" w:hAnsi="华文仿宋"/>
          <w:szCs w:val="32"/>
        </w:rPr>
        <w:t>发布不足</w:t>
      </w:r>
      <w:r>
        <w:rPr>
          <w:rFonts w:hint="eastAsia" w:ascii="仿宋_GB2312" w:hAnsi="华文仿宋"/>
          <w:szCs w:val="32"/>
          <w:lang w:val="en-US" w:eastAsia="zh-CN"/>
        </w:rPr>
        <w:t>6</w:t>
      </w:r>
      <w:r>
        <w:rPr>
          <w:rFonts w:hint="eastAsia" w:ascii="仿宋_GB2312" w:hAnsi="华文仿宋"/>
          <w:szCs w:val="32"/>
        </w:rPr>
        <w:t>个月</w:t>
      </w:r>
      <w:r>
        <w:rPr>
          <w:rFonts w:ascii="仿宋_GB2312" w:hAnsi="华文仿宋"/>
          <w:szCs w:val="32"/>
        </w:rPr>
        <w:t>的</w:t>
      </w:r>
      <w:r>
        <w:rPr>
          <w:rFonts w:hint="eastAsia" w:ascii="仿宋_GB2312" w:hAnsi="华文仿宋"/>
          <w:szCs w:val="32"/>
        </w:rPr>
        <w:t>；</w:t>
      </w:r>
    </w:p>
    <w:p>
      <w:pPr>
        <w:snapToGrid w:val="0"/>
        <w:spacing w:afterLines="0" w:line="540" w:lineRule="exact"/>
        <w:ind w:firstLine="640" w:firstLineChars="200"/>
        <w:rPr>
          <w:rFonts w:ascii="仿宋_GB2312" w:hAnsi="华文仿宋"/>
          <w:szCs w:val="32"/>
        </w:rPr>
      </w:pPr>
      <w:r>
        <w:rPr>
          <w:rFonts w:hint="eastAsia" w:ascii="仿宋_GB2312" w:hAnsi="华文仿宋"/>
          <w:szCs w:val="32"/>
        </w:rPr>
        <w:t>（五）已连续参加过两次行业科技奖评奖但未获奖</w:t>
      </w:r>
      <w:r>
        <w:rPr>
          <w:rFonts w:hint="eastAsia" w:ascii="仿宋_GB2312" w:hAnsi="华文仿宋"/>
          <w:szCs w:val="32"/>
          <w:lang w:eastAsia="zh-CN"/>
        </w:rPr>
        <w:t>且申报项目未发生实质变化</w:t>
      </w:r>
      <w:r>
        <w:rPr>
          <w:rFonts w:hint="eastAsia" w:ascii="仿宋_GB2312" w:hAnsi="华文仿宋"/>
          <w:szCs w:val="32"/>
        </w:rPr>
        <w:t>的；</w:t>
      </w:r>
    </w:p>
    <w:p>
      <w:pPr>
        <w:snapToGrid w:val="0"/>
        <w:spacing w:afterLines="0" w:line="540" w:lineRule="exact"/>
        <w:ind w:firstLine="640" w:firstLineChars="200"/>
        <w:rPr>
          <w:rFonts w:ascii="仿宋_GB2312" w:hAnsi="华文仿宋"/>
          <w:szCs w:val="32"/>
        </w:rPr>
      </w:pPr>
      <w:r>
        <w:rPr>
          <w:rFonts w:hint="eastAsia" w:ascii="仿宋_GB2312" w:hAnsi="华文仿宋"/>
          <w:szCs w:val="32"/>
        </w:rPr>
        <w:t>（六）不符合</w:t>
      </w:r>
      <w:r>
        <w:rPr>
          <w:rFonts w:ascii="仿宋_GB2312" w:hAnsi="华文仿宋"/>
          <w:szCs w:val="32"/>
        </w:rPr>
        <w:t>现行法律法规、部门规章、</w:t>
      </w:r>
      <w:r>
        <w:rPr>
          <w:rFonts w:hint="eastAsia" w:ascii="仿宋_GB2312" w:hAnsi="华文仿宋"/>
          <w:szCs w:val="32"/>
        </w:rPr>
        <w:t>自律</w:t>
      </w:r>
      <w:r>
        <w:rPr>
          <w:rFonts w:ascii="仿宋_GB2312" w:hAnsi="华文仿宋"/>
          <w:szCs w:val="32"/>
        </w:rPr>
        <w:t>规则要求的；</w:t>
      </w:r>
    </w:p>
    <w:p>
      <w:pPr>
        <w:numPr>
          <w:ilvl w:val="-1"/>
          <w:numId w:val="0"/>
        </w:numPr>
        <w:snapToGrid w:val="0"/>
        <w:spacing w:afterLines="0" w:line="540" w:lineRule="exact"/>
        <w:ind w:firstLine="640" w:firstLineChars="200"/>
        <w:rPr>
          <w:rFonts w:hint="eastAsia" w:ascii="仿宋_GB2312" w:hAnsi="华文仿宋" w:cs="Times New Roman"/>
          <w:i w:val="0"/>
          <w:iCs w:val="0"/>
          <w:caps w:val="0"/>
          <w:spacing w:val="0"/>
          <w:sz w:val="32"/>
          <w:szCs w:val="32"/>
          <w:shd w:val="clear"/>
          <w:lang w:eastAsia="zh-CN"/>
        </w:rPr>
      </w:pPr>
      <w:r>
        <w:rPr>
          <w:rFonts w:hint="eastAsia" w:ascii="仿宋_GB2312" w:hAnsi="华文仿宋"/>
          <w:szCs w:val="32"/>
        </w:rPr>
        <w:t>（七）其他科技奖励工作办公室认为不符合申报要求的。</w:t>
      </w:r>
    </w:p>
    <w:p>
      <w:pPr>
        <w:numPr>
          <w:ilvl w:val="0"/>
          <w:numId w:val="1"/>
        </w:numPr>
        <w:snapToGrid w:val="0"/>
        <w:spacing w:afterLines="0" w:line="540" w:lineRule="exact"/>
        <w:ind w:firstLine="640" w:firstLineChars="200"/>
        <w:rPr>
          <w:rFonts w:hint="eastAsia" w:ascii="仿宋_GB2312" w:hAnsi="华文仿宋" w:cs="Times New Roman"/>
          <w:i w:val="0"/>
          <w:iCs w:val="0"/>
          <w:caps w:val="0"/>
          <w:spacing w:val="0"/>
          <w:sz w:val="32"/>
          <w:szCs w:val="32"/>
          <w:highlight w:val="none"/>
          <w:shd w:val="clear"/>
          <w:lang w:eastAsia="zh-CN"/>
        </w:rPr>
      </w:pPr>
      <w:r>
        <w:rPr>
          <w:rFonts w:hint="eastAsia" w:ascii="仿宋_GB2312" w:hAnsi="华文仿宋" w:cs="Times New Roman"/>
          <w:i w:val="0"/>
          <w:iCs w:val="0"/>
          <w:caps w:val="0"/>
          <w:spacing w:val="0"/>
          <w:sz w:val="32"/>
          <w:szCs w:val="32"/>
          <w:highlight w:val="none"/>
          <w:shd w:val="clear"/>
          <w:lang w:eastAsia="zh-CN"/>
        </w:rPr>
        <w:t>鼓励在以下方面积极申报行业科技奖：</w:t>
      </w:r>
    </w:p>
    <w:p>
      <w:pPr>
        <w:numPr>
          <w:ilvl w:val="-1"/>
          <w:numId w:val="0"/>
        </w:numPr>
        <w:snapToGrid w:val="0"/>
        <w:spacing w:afterLines="0" w:line="540" w:lineRule="exact"/>
        <w:ind w:firstLine="640" w:firstLineChars="200"/>
        <w:rPr>
          <w:rFonts w:hint="default" w:ascii="仿宋_GB2312" w:hAnsi="华文仿宋" w:cs="Times New Roman"/>
          <w:i w:val="0"/>
          <w:iCs w:val="0"/>
          <w:caps w:val="0"/>
          <w:spacing w:val="0"/>
          <w:sz w:val="32"/>
          <w:szCs w:val="32"/>
          <w:highlight w:val="none"/>
          <w:shd w:val="clear"/>
          <w:lang w:val="en-US" w:eastAsia="zh-CN"/>
        </w:rPr>
      </w:pPr>
      <w:r>
        <w:rPr>
          <w:rFonts w:hint="eastAsia" w:ascii="仿宋_GB2312" w:hAnsi="华文仿宋" w:cs="Times New Roman"/>
          <w:i w:val="0"/>
          <w:iCs w:val="0"/>
          <w:caps w:val="0"/>
          <w:spacing w:val="0"/>
          <w:sz w:val="32"/>
          <w:szCs w:val="32"/>
          <w:highlight w:val="none"/>
          <w:shd w:val="clear"/>
          <w:lang w:eastAsia="zh-CN"/>
        </w:rPr>
        <w:t>（一）符合国家发展规划战略导向；</w:t>
      </w:r>
    </w:p>
    <w:p>
      <w:pPr>
        <w:numPr>
          <w:ilvl w:val="-1"/>
          <w:numId w:val="0"/>
        </w:numPr>
        <w:snapToGrid w:val="0"/>
        <w:spacing w:afterLines="0" w:line="540" w:lineRule="exact"/>
        <w:ind w:firstLine="640" w:firstLineChars="200"/>
        <w:rPr>
          <w:rFonts w:hint="eastAsia" w:ascii="仿宋_GB2312" w:hAnsi="华文仿宋" w:cs="Times New Roman"/>
          <w:i w:val="0"/>
          <w:iCs w:val="0"/>
          <w:caps w:val="0"/>
          <w:spacing w:val="0"/>
          <w:sz w:val="32"/>
          <w:szCs w:val="32"/>
          <w:highlight w:val="none"/>
          <w:shd w:val="clear"/>
          <w:lang w:eastAsia="zh-CN"/>
        </w:rPr>
      </w:pPr>
      <w:r>
        <w:rPr>
          <w:rFonts w:hint="eastAsia" w:ascii="仿宋_GB2312" w:hAnsi="华文仿宋" w:cs="Times New Roman"/>
          <w:i w:val="0"/>
          <w:iCs w:val="0"/>
          <w:caps w:val="0"/>
          <w:spacing w:val="0"/>
          <w:sz w:val="32"/>
          <w:szCs w:val="32"/>
          <w:highlight w:val="none"/>
          <w:shd w:val="clear"/>
          <w:lang w:eastAsia="zh-CN"/>
        </w:rPr>
        <w:t>（二）前沿科学技术探索应用；</w:t>
      </w:r>
    </w:p>
    <w:p>
      <w:pPr>
        <w:numPr>
          <w:ilvl w:val="-1"/>
          <w:numId w:val="0"/>
        </w:numPr>
        <w:snapToGrid w:val="0"/>
        <w:spacing w:afterLines="0" w:line="540" w:lineRule="exact"/>
        <w:ind w:firstLine="640" w:firstLineChars="200"/>
        <w:rPr>
          <w:rFonts w:hint="eastAsia" w:ascii="仿宋_GB2312" w:hAnsi="华文仿宋" w:cs="Times New Roman"/>
          <w:i w:val="0"/>
          <w:iCs w:val="0"/>
          <w:caps w:val="0"/>
          <w:spacing w:val="0"/>
          <w:sz w:val="32"/>
          <w:szCs w:val="32"/>
          <w:highlight w:val="none"/>
          <w:shd w:val="clear"/>
          <w:lang w:eastAsia="zh-CN"/>
        </w:rPr>
      </w:pPr>
      <w:r>
        <w:rPr>
          <w:rFonts w:hint="eastAsia" w:ascii="仿宋_GB2312" w:hAnsi="华文仿宋" w:cs="Times New Roman"/>
          <w:i w:val="0"/>
          <w:iCs w:val="0"/>
          <w:caps w:val="0"/>
          <w:spacing w:val="0"/>
          <w:sz w:val="32"/>
          <w:szCs w:val="32"/>
          <w:highlight w:val="none"/>
          <w:shd w:val="clear"/>
          <w:lang w:eastAsia="zh-CN"/>
        </w:rPr>
        <w:t>（三）推动行业数字化转型发展需要；</w:t>
      </w:r>
    </w:p>
    <w:p>
      <w:pPr>
        <w:numPr>
          <w:ilvl w:val="-1"/>
          <w:numId w:val="0"/>
        </w:numPr>
        <w:snapToGrid w:val="0"/>
        <w:spacing w:afterLines="0" w:line="540" w:lineRule="exact"/>
        <w:ind w:firstLine="640" w:firstLineChars="200"/>
        <w:rPr>
          <w:rFonts w:hint="eastAsia" w:ascii="仿宋_GB2312" w:hAnsi="华文仿宋" w:cs="Times New Roman"/>
          <w:i w:val="0"/>
          <w:iCs w:val="0"/>
          <w:caps w:val="0"/>
          <w:spacing w:val="0"/>
          <w:sz w:val="32"/>
          <w:szCs w:val="32"/>
          <w:highlight w:val="none"/>
          <w:shd w:val="clear"/>
          <w:lang w:eastAsia="zh-CN"/>
        </w:rPr>
      </w:pPr>
      <w:r>
        <w:rPr>
          <w:rFonts w:hint="eastAsia" w:ascii="仿宋_GB2312" w:hAnsi="华文仿宋" w:cs="Times New Roman"/>
          <w:i w:val="0"/>
          <w:iCs w:val="0"/>
          <w:caps w:val="0"/>
          <w:spacing w:val="0"/>
          <w:sz w:val="32"/>
          <w:szCs w:val="32"/>
          <w:highlight w:val="none"/>
          <w:shd w:val="clear"/>
          <w:lang w:eastAsia="zh-CN"/>
        </w:rPr>
        <w:t>（四）研究形成重要科技理论成果；</w:t>
      </w:r>
    </w:p>
    <w:p>
      <w:pPr>
        <w:numPr>
          <w:ilvl w:val="-1"/>
          <w:numId w:val="0"/>
        </w:numPr>
        <w:snapToGrid w:val="0"/>
        <w:spacing w:afterLines="0" w:line="540" w:lineRule="exact"/>
        <w:ind w:firstLine="640" w:firstLineChars="200"/>
        <w:rPr>
          <w:rFonts w:hint="eastAsia" w:ascii="仿宋_GB2312" w:hAnsi="华文仿宋" w:cs="Times New Roman"/>
          <w:i w:val="0"/>
          <w:iCs w:val="0"/>
          <w:caps w:val="0"/>
          <w:spacing w:val="0"/>
          <w:sz w:val="32"/>
          <w:szCs w:val="32"/>
          <w:highlight w:val="none"/>
          <w:shd w:val="clear"/>
          <w:lang w:eastAsia="zh-CN"/>
        </w:rPr>
      </w:pPr>
      <w:r>
        <w:rPr>
          <w:rFonts w:hint="eastAsia" w:ascii="仿宋_GB2312" w:hAnsi="华文仿宋" w:cs="Times New Roman"/>
          <w:i w:val="0"/>
          <w:iCs w:val="0"/>
          <w:caps w:val="0"/>
          <w:spacing w:val="0"/>
          <w:sz w:val="32"/>
          <w:szCs w:val="32"/>
          <w:highlight w:val="none"/>
          <w:shd w:val="clear"/>
          <w:lang w:eastAsia="zh-CN"/>
        </w:rPr>
        <w:t>（五）其他促进行业科学技术发展要求。</w:t>
      </w:r>
    </w:p>
    <w:p>
      <w:pPr>
        <w:numPr>
          <w:ilvl w:val="0"/>
          <w:numId w:val="1"/>
        </w:numPr>
        <w:snapToGrid w:val="0"/>
        <w:spacing w:afterLines="0" w:line="540" w:lineRule="exact"/>
        <w:ind w:firstLine="640" w:firstLineChars="200"/>
        <w:rPr>
          <w:rFonts w:ascii="仿宋_GB2312" w:hAnsi="华文仿宋"/>
          <w:szCs w:val="32"/>
        </w:rPr>
      </w:pPr>
      <w:r>
        <w:rPr>
          <w:rFonts w:hint="eastAsia" w:ascii="仿宋_GB2312" w:hAnsi="华文仿宋"/>
          <w:szCs w:val="32"/>
        </w:rPr>
        <w:t>行业科技奖设一等奖、二等奖、三等奖和</w:t>
      </w:r>
      <w:r>
        <w:rPr>
          <w:rFonts w:ascii="仿宋_GB2312" w:hAnsi="华文仿宋"/>
          <w:szCs w:val="32"/>
        </w:rPr>
        <w:t>优秀奖</w:t>
      </w:r>
      <w:r>
        <w:rPr>
          <w:rFonts w:hint="eastAsia" w:ascii="仿宋_GB2312" w:hAnsi="华文仿宋"/>
          <w:szCs w:val="32"/>
        </w:rPr>
        <w:t>。</w:t>
      </w:r>
    </w:p>
    <w:p>
      <w:pPr>
        <w:snapToGrid w:val="0"/>
        <w:spacing w:afterLines="0" w:line="540" w:lineRule="exact"/>
        <w:ind w:firstLine="640" w:firstLineChars="200"/>
        <w:rPr>
          <w:rFonts w:ascii="仿宋_GB2312" w:hAnsi="华文仿宋"/>
          <w:szCs w:val="32"/>
        </w:rPr>
      </w:pPr>
      <w:r>
        <w:rPr>
          <w:rFonts w:hint="eastAsia" w:ascii="仿宋_GB2312" w:hAnsi="华文仿宋"/>
          <w:szCs w:val="32"/>
        </w:rPr>
        <w:t>一等奖：达到或接近国际先进水平，或达到国内领先水平，技术难度较大，对行业科技进步、市场安全稳定运行和业务创新发展具有显著推动作用；或具有极强的实用性，为证券期货业带来显著经济效益或社会效益。</w:t>
      </w:r>
    </w:p>
    <w:p>
      <w:pPr>
        <w:snapToGrid w:val="0"/>
        <w:spacing w:afterLines="0" w:line="540" w:lineRule="exact"/>
        <w:ind w:firstLine="640" w:firstLineChars="200"/>
        <w:rPr>
          <w:rFonts w:ascii="仿宋_GB2312" w:hAnsi="华文仿宋"/>
          <w:szCs w:val="32"/>
        </w:rPr>
      </w:pPr>
      <w:r>
        <w:rPr>
          <w:rFonts w:hint="eastAsia" w:ascii="仿宋_GB2312" w:hAnsi="华文仿宋"/>
          <w:szCs w:val="32"/>
        </w:rPr>
        <w:t>二等奖：达到国内先进水平或行业领先水平，有一定技术难度，对行业科技进步、市场安全稳定运行和业务创新发展具有较大推动作用；或具有较好的实用性，为证券期货业带来较大经济效益或社会效益。</w:t>
      </w:r>
    </w:p>
    <w:p>
      <w:pPr>
        <w:snapToGrid w:val="0"/>
        <w:spacing w:afterLines="0" w:line="540" w:lineRule="exact"/>
        <w:ind w:firstLine="640" w:firstLineChars="200"/>
        <w:rPr>
          <w:rFonts w:ascii="仿宋_GB2312" w:hAnsi="华文仿宋"/>
          <w:szCs w:val="32"/>
        </w:rPr>
      </w:pPr>
      <w:r>
        <w:rPr>
          <w:rFonts w:hint="eastAsia" w:ascii="仿宋_GB2312" w:hAnsi="华文仿宋"/>
          <w:szCs w:val="32"/>
        </w:rPr>
        <w:t>三等奖：达到行业先进水平，对行业科技进步、市场安全稳定运行和业务创新发展具有一定推动作用；或具有实用性，为证券期货业带来一定经济效益或社会效益。</w:t>
      </w:r>
    </w:p>
    <w:p>
      <w:pPr>
        <w:snapToGrid w:val="0"/>
        <w:spacing w:afterLines="0" w:line="540" w:lineRule="exact"/>
        <w:ind w:firstLine="640" w:firstLineChars="200"/>
        <w:rPr>
          <w:rFonts w:ascii="仿宋_GB2312" w:hAnsi="华文仿宋"/>
          <w:szCs w:val="32"/>
        </w:rPr>
      </w:pPr>
      <w:r>
        <w:rPr>
          <w:rFonts w:hint="eastAsia" w:ascii="仿宋_GB2312" w:hAnsi="华文仿宋"/>
          <w:szCs w:val="32"/>
        </w:rPr>
        <w:t>优秀奖：对推动业务发展、</w:t>
      </w:r>
      <w:r>
        <w:rPr>
          <w:rFonts w:ascii="仿宋_GB2312" w:hAnsi="华文仿宋"/>
          <w:szCs w:val="32"/>
        </w:rPr>
        <w:t>提升合规与风控水平、</w:t>
      </w:r>
      <w:r>
        <w:rPr>
          <w:rFonts w:hint="eastAsia" w:ascii="仿宋_GB2312" w:hAnsi="华文仿宋"/>
          <w:szCs w:val="32"/>
        </w:rPr>
        <w:t>提高企业效率与促进安全保障方面有重要作用。</w:t>
      </w:r>
    </w:p>
    <w:p>
      <w:pPr>
        <w:numPr>
          <w:ilvl w:val="0"/>
          <w:numId w:val="1"/>
        </w:numPr>
        <w:snapToGrid w:val="0"/>
        <w:spacing w:afterLines="0" w:line="540" w:lineRule="exact"/>
        <w:ind w:firstLine="640" w:firstLineChars="200"/>
        <w:jc w:val="both"/>
        <w:rPr>
          <w:rFonts w:hint="eastAsia" w:ascii="仿宋_GB2312" w:hAnsi="华文仿宋"/>
          <w:szCs w:val="32"/>
          <w:highlight w:val="none"/>
        </w:rPr>
      </w:pPr>
      <w:r>
        <w:rPr>
          <w:rFonts w:hint="eastAsia" w:ascii="仿宋_GB2312" w:hAnsi="华文仿宋"/>
          <w:szCs w:val="32"/>
          <w:highlight w:val="none"/>
          <w:lang w:eastAsia="zh-CN"/>
        </w:rPr>
        <w:t>每</w:t>
      </w:r>
      <w:r>
        <w:rPr>
          <w:rFonts w:hint="eastAsia" w:ascii="仿宋_GB2312" w:hAnsi="华文仿宋"/>
          <w:szCs w:val="32"/>
          <w:highlight w:val="none"/>
        </w:rPr>
        <w:t>届行业科技奖</w:t>
      </w:r>
      <w:r>
        <w:rPr>
          <w:rFonts w:hint="eastAsia" w:ascii="仿宋_GB2312" w:hAnsi="华文仿宋" w:eastAsia="仿宋_GB2312" w:cs="Times New Roman"/>
          <w:i w:val="0"/>
          <w:iCs w:val="0"/>
          <w:caps w:val="0"/>
          <w:color w:val="auto"/>
          <w:spacing w:val="0"/>
          <w:sz w:val="32"/>
          <w:szCs w:val="32"/>
          <w:highlight w:val="none"/>
          <w:shd w:val="clear" w:fill="auto"/>
        </w:rPr>
        <w:t>一等奖</w:t>
      </w:r>
      <w:r>
        <w:rPr>
          <w:rFonts w:hint="eastAsia" w:ascii="仿宋_GB2312" w:hAnsi="华文仿宋" w:cs="Times New Roman"/>
          <w:i w:val="0"/>
          <w:iCs w:val="0"/>
          <w:caps w:val="0"/>
          <w:spacing w:val="0"/>
          <w:sz w:val="32"/>
          <w:szCs w:val="32"/>
          <w:highlight w:val="none"/>
          <w:shd w:val="clear"/>
          <w:lang w:eastAsia="zh-CN"/>
        </w:rPr>
        <w:t>数量，</w:t>
      </w:r>
      <w:r>
        <w:rPr>
          <w:rFonts w:hint="eastAsia" w:ascii="仿宋_GB2312" w:hAnsi="华文仿宋" w:eastAsia="仿宋_GB2312" w:cs="Times New Roman"/>
          <w:i w:val="0"/>
          <w:iCs w:val="0"/>
          <w:caps w:val="0"/>
          <w:color w:val="auto"/>
          <w:spacing w:val="0"/>
          <w:sz w:val="32"/>
          <w:szCs w:val="32"/>
          <w:highlight w:val="none"/>
          <w:shd w:val="clear" w:fill="auto"/>
        </w:rPr>
        <w:t>原则</w:t>
      </w:r>
      <w:r>
        <w:rPr>
          <w:rFonts w:hint="eastAsia" w:ascii="仿宋_GB2312" w:hAnsi="华文仿宋" w:cs="Times New Roman"/>
          <w:i w:val="0"/>
          <w:iCs w:val="0"/>
          <w:caps w:val="0"/>
          <w:color w:val="auto"/>
          <w:spacing w:val="0"/>
          <w:sz w:val="32"/>
          <w:szCs w:val="32"/>
          <w:highlight w:val="none"/>
          <w:shd w:val="clear" w:fill="auto"/>
          <w:lang w:eastAsia="zh-CN"/>
        </w:rPr>
        <w:t>上</w:t>
      </w:r>
      <w:r>
        <w:rPr>
          <w:rFonts w:hint="eastAsia" w:ascii="仿宋_GB2312" w:hAnsi="华文仿宋" w:eastAsia="仿宋_GB2312" w:cs="Times New Roman"/>
          <w:i w:val="0"/>
          <w:iCs w:val="0"/>
          <w:caps w:val="0"/>
          <w:color w:val="auto"/>
          <w:spacing w:val="0"/>
          <w:sz w:val="32"/>
          <w:szCs w:val="32"/>
          <w:highlight w:val="none"/>
          <w:shd w:val="clear" w:fill="auto"/>
        </w:rPr>
        <w:t>不超过</w:t>
      </w:r>
      <w:r>
        <w:rPr>
          <w:rFonts w:hint="eastAsia" w:ascii="仿宋_GB2312" w:hAnsi="华文仿宋" w:cs="Times New Roman"/>
          <w:i w:val="0"/>
          <w:iCs w:val="0"/>
          <w:caps w:val="0"/>
          <w:spacing w:val="0"/>
          <w:sz w:val="32"/>
          <w:szCs w:val="32"/>
          <w:highlight w:val="none"/>
          <w:shd w:val="clear"/>
          <w:lang w:eastAsia="zh-CN"/>
        </w:rPr>
        <w:t>有效</w:t>
      </w:r>
      <w:r>
        <w:rPr>
          <w:rFonts w:hint="eastAsia" w:ascii="仿宋_GB2312" w:hAnsi="华文仿宋" w:eastAsia="仿宋_GB2312" w:cs="Times New Roman"/>
          <w:i w:val="0"/>
          <w:iCs w:val="0"/>
          <w:caps w:val="0"/>
          <w:color w:val="auto"/>
          <w:spacing w:val="0"/>
          <w:sz w:val="32"/>
          <w:szCs w:val="32"/>
          <w:highlight w:val="none"/>
          <w:shd w:val="clear" w:fill="auto"/>
        </w:rPr>
        <w:t>申报项目总数的</w:t>
      </w:r>
      <w:r>
        <w:rPr>
          <w:rFonts w:hint="eastAsia" w:ascii="仿宋_GB2312" w:hAnsi="华文仿宋" w:cs="Times New Roman"/>
          <w:i w:val="0"/>
          <w:iCs w:val="0"/>
          <w:caps w:val="0"/>
          <w:color w:val="auto"/>
          <w:spacing w:val="0"/>
          <w:sz w:val="32"/>
          <w:szCs w:val="32"/>
          <w:highlight w:val="none"/>
          <w:shd w:val="clear" w:fill="auto"/>
          <w:lang w:val="en-US" w:eastAsia="zh-CN"/>
        </w:rPr>
        <w:t>2</w:t>
      </w:r>
      <w:r>
        <w:rPr>
          <w:rFonts w:hint="eastAsia" w:ascii="仿宋_GB2312" w:hAnsi="华文仿宋" w:cs="Times New Roman"/>
          <w:i w:val="0"/>
          <w:iCs w:val="0"/>
          <w:caps w:val="0"/>
          <w:spacing w:val="0"/>
          <w:sz w:val="32"/>
          <w:szCs w:val="32"/>
          <w:highlight w:val="none"/>
          <w:shd w:val="clear"/>
          <w:lang w:val="en-US" w:eastAsia="zh-CN"/>
        </w:rPr>
        <w:t>%；</w:t>
      </w:r>
      <w:r>
        <w:rPr>
          <w:rFonts w:hint="eastAsia" w:ascii="仿宋_GB2312" w:hAnsi="华文仿宋" w:cs="Times New Roman"/>
          <w:i w:val="0"/>
          <w:iCs w:val="0"/>
          <w:caps w:val="0"/>
          <w:spacing w:val="0"/>
          <w:sz w:val="32"/>
          <w:szCs w:val="32"/>
          <w:highlight w:val="none"/>
          <w:shd w:val="clear"/>
          <w:lang w:eastAsia="zh-CN"/>
        </w:rPr>
        <w:t>一、</w:t>
      </w:r>
      <w:r>
        <w:rPr>
          <w:rFonts w:hint="eastAsia" w:ascii="仿宋_GB2312" w:hAnsi="华文仿宋" w:eastAsia="仿宋_GB2312" w:cs="Times New Roman"/>
          <w:i w:val="0"/>
          <w:iCs w:val="0"/>
          <w:caps w:val="0"/>
          <w:color w:val="auto"/>
          <w:spacing w:val="0"/>
          <w:sz w:val="32"/>
          <w:szCs w:val="32"/>
          <w:highlight w:val="none"/>
          <w:shd w:val="clear" w:fill="auto"/>
        </w:rPr>
        <w:t>二等奖</w:t>
      </w:r>
      <w:r>
        <w:rPr>
          <w:rFonts w:hint="eastAsia" w:ascii="仿宋_GB2312" w:hAnsi="华文仿宋" w:cs="Times New Roman"/>
          <w:i w:val="0"/>
          <w:iCs w:val="0"/>
          <w:caps w:val="0"/>
          <w:spacing w:val="0"/>
          <w:sz w:val="32"/>
          <w:szCs w:val="32"/>
          <w:highlight w:val="none"/>
          <w:shd w:val="clear"/>
          <w:lang w:eastAsia="zh-CN"/>
        </w:rPr>
        <w:t>合计数量，</w:t>
      </w:r>
      <w:r>
        <w:rPr>
          <w:rFonts w:hint="eastAsia" w:ascii="仿宋_GB2312" w:hAnsi="华文仿宋" w:eastAsia="仿宋_GB2312" w:cs="Times New Roman"/>
          <w:i w:val="0"/>
          <w:iCs w:val="0"/>
          <w:caps w:val="0"/>
          <w:color w:val="auto"/>
          <w:spacing w:val="0"/>
          <w:sz w:val="32"/>
          <w:szCs w:val="32"/>
          <w:highlight w:val="none"/>
          <w:shd w:val="clear" w:fill="auto"/>
        </w:rPr>
        <w:t>原则</w:t>
      </w:r>
      <w:r>
        <w:rPr>
          <w:rFonts w:hint="eastAsia" w:ascii="仿宋_GB2312" w:hAnsi="华文仿宋" w:cs="Times New Roman"/>
          <w:i w:val="0"/>
          <w:iCs w:val="0"/>
          <w:caps w:val="0"/>
          <w:color w:val="auto"/>
          <w:spacing w:val="0"/>
          <w:sz w:val="32"/>
          <w:szCs w:val="32"/>
          <w:highlight w:val="none"/>
          <w:shd w:val="clear" w:fill="auto"/>
          <w:lang w:eastAsia="zh-CN"/>
        </w:rPr>
        <w:t>上</w:t>
      </w:r>
      <w:r>
        <w:rPr>
          <w:rFonts w:hint="eastAsia" w:ascii="仿宋_GB2312" w:hAnsi="华文仿宋" w:eastAsia="仿宋_GB2312" w:cs="Times New Roman"/>
          <w:i w:val="0"/>
          <w:iCs w:val="0"/>
          <w:caps w:val="0"/>
          <w:color w:val="auto"/>
          <w:spacing w:val="0"/>
          <w:sz w:val="32"/>
          <w:szCs w:val="32"/>
          <w:highlight w:val="none"/>
          <w:shd w:val="clear" w:fill="auto"/>
        </w:rPr>
        <w:t>不超过</w:t>
      </w:r>
      <w:r>
        <w:rPr>
          <w:rFonts w:hint="eastAsia" w:ascii="仿宋_GB2312" w:hAnsi="华文仿宋" w:cs="Times New Roman"/>
          <w:i w:val="0"/>
          <w:iCs w:val="0"/>
          <w:caps w:val="0"/>
          <w:spacing w:val="0"/>
          <w:sz w:val="32"/>
          <w:szCs w:val="32"/>
          <w:highlight w:val="none"/>
          <w:shd w:val="clear"/>
          <w:lang w:eastAsia="zh-CN"/>
        </w:rPr>
        <w:t>有效</w:t>
      </w:r>
      <w:r>
        <w:rPr>
          <w:rFonts w:hint="eastAsia" w:ascii="仿宋_GB2312" w:hAnsi="华文仿宋" w:eastAsia="仿宋_GB2312" w:cs="Times New Roman"/>
          <w:i w:val="0"/>
          <w:iCs w:val="0"/>
          <w:caps w:val="0"/>
          <w:color w:val="auto"/>
          <w:spacing w:val="0"/>
          <w:sz w:val="32"/>
          <w:szCs w:val="32"/>
          <w:highlight w:val="none"/>
          <w:shd w:val="clear" w:fill="auto"/>
        </w:rPr>
        <w:t>申报项目总数的</w:t>
      </w:r>
      <w:r>
        <w:rPr>
          <w:rFonts w:hint="eastAsia" w:ascii="仿宋_GB2312" w:hAnsi="华文仿宋" w:cs="Times New Roman"/>
          <w:i w:val="0"/>
          <w:iCs w:val="0"/>
          <w:caps w:val="0"/>
          <w:color w:val="auto"/>
          <w:spacing w:val="0"/>
          <w:sz w:val="32"/>
          <w:szCs w:val="32"/>
          <w:highlight w:val="none"/>
          <w:shd w:val="clear" w:fill="auto"/>
          <w:lang w:val="en-US" w:eastAsia="zh-CN"/>
        </w:rPr>
        <w:t>8</w:t>
      </w:r>
      <w:r>
        <w:rPr>
          <w:rFonts w:hint="eastAsia" w:ascii="仿宋_GB2312" w:hAnsi="华文仿宋" w:eastAsia="仿宋_GB2312" w:cs="Times New Roman"/>
          <w:i w:val="0"/>
          <w:iCs w:val="0"/>
          <w:caps w:val="0"/>
          <w:color w:val="auto"/>
          <w:spacing w:val="0"/>
          <w:sz w:val="32"/>
          <w:szCs w:val="32"/>
          <w:highlight w:val="none"/>
          <w:shd w:val="clear" w:fill="auto"/>
        </w:rPr>
        <w:t>%</w:t>
      </w:r>
      <w:r>
        <w:rPr>
          <w:rFonts w:hint="eastAsia" w:ascii="仿宋_GB2312" w:hAnsi="华文仿宋" w:cs="Times New Roman"/>
          <w:i w:val="0"/>
          <w:iCs w:val="0"/>
          <w:caps w:val="0"/>
          <w:spacing w:val="0"/>
          <w:sz w:val="32"/>
          <w:szCs w:val="32"/>
          <w:highlight w:val="none"/>
          <w:shd w:val="clear"/>
          <w:lang w:eastAsia="zh-CN"/>
        </w:rPr>
        <w:t>；一、二、</w:t>
      </w:r>
      <w:r>
        <w:rPr>
          <w:rFonts w:hint="eastAsia" w:ascii="仿宋_GB2312" w:hAnsi="华文仿宋" w:eastAsia="仿宋_GB2312" w:cs="Times New Roman"/>
          <w:i w:val="0"/>
          <w:iCs w:val="0"/>
          <w:caps w:val="0"/>
          <w:color w:val="auto"/>
          <w:spacing w:val="0"/>
          <w:sz w:val="32"/>
          <w:szCs w:val="32"/>
          <w:highlight w:val="none"/>
          <w:shd w:val="clear" w:fill="auto"/>
        </w:rPr>
        <w:t>三等奖</w:t>
      </w:r>
      <w:r>
        <w:rPr>
          <w:rFonts w:hint="eastAsia" w:ascii="仿宋_GB2312" w:hAnsi="华文仿宋" w:cs="Times New Roman"/>
          <w:i w:val="0"/>
          <w:iCs w:val="0"/>
          <w:caps w:val="0"/>
          <w:spacing w:val="0"/>
          <w:sz w:val="32"/>
          <w:szCs w:val="32"/>
          <w:highlight w:val="none"/>
          <w:shd w:val="clear"/>
          <w:lang w:eastAsia="zh-CN"/>
        </w:rPr>
        <w:t>合计数量，</w:t>
      </w:r>
      <w:r>
        <w:rPr>
          <w:rFonts w:hint="eastAsia" w:ascii="仿宋_GB2312" w:hAnsi="华文仿宋" w:eastAsia="仿宋_GB2312" w:cs="Times New Roman"/>
          <w:i w:val="0"/>
          <w:iCs w:val="0"/>
          <w:caps w:val="0"/>
          <w:color w:val="auto"/>
          <w:spacing w:val="0"/>
          <w:sz w:val="32"/>
          <w:szCs w:val="32"/>
          <w:highlight w:val="none"/>
          <w:shd w:val="clear" w:fill="auto"/>
        </w:rPr>
        <w:t>原则</w:t>
      </w:r>
      <w:r>
        <w:rPr>
          <w:rFonts w:hint="eastAsia" w:ascii="仿宋_GB2312" w:hAnsi="华文仿宋" w:cs="Times New Roman"/>
          <w:i w:val="0"/>
          <w:iCs w:val="0"/>
          <w:caps w:val="0"/>
          <w:color w:val="auto"/>
          <w:spacing w:val="0"/>
          <w:sz w:val="32"/>
          <w:szCs w:val="32"/>
          <w:highlight w:val="none"/>
          <w:shd w:val="clear" w:fill="auto"/>
          <w:lang w:eastAsia="zh-CN"/>
        </w:rPr>
        <w:t>上</w:t>
      </w:r>
      <w:r>
        <w:rPr>
          <w:rFonts w:hint="eastAsia" w:ascii="仿宋_GB2312" w:hAnsi="华文仿宋" w:eastAsia="仿宋_GB2312" w:cs="Times New Roman"/>
          <w:i w:val="0"/>
          <w:iCs w:val="0"/>
          <w:caps w:val="0"/>
          <w:color w:val="auto"/>
          <w:spacing w:val="0"/>
          <w:sz w:val="32"/>
          <w:szCs w:val="32"/>
          <w:highlight w:val="none"/>
          <w:shd w:val="clear" w:fill="auto"/>
        </w:rPr>
        <w:t>不超过</w:t>
      </w:r>
      <w:r>
        <w:rPr>
          <w:rFonts w:hint="eastAsia" w:ascii="仿宋_GB2312" w:hAnsi="华文仿宋" w:cs="Times New Roman"/>
          <w:i w:val="0"/>
          <w:iCs w:val="0"/>
          <w:caps w:val="0"/>
          <w:spacing w:val="0"/>
          <w:sz w:val="32"/>
          <w:szCs w:val="32"/>
          <w:highlight w:val="none"/>
          <w:shd w:val="clear"/>
          <w:lang w:eastAsia="zh-CN"/>
        </w:rPr>
        <w:t>有效</w:t>
      </w:r>
      <w:r>
        <w:rPr>
          <w:rFonts w:hint="eastAsia" w:ascii="仿宋_GB2312" w:hAnsi="华文仿宋" w:eastAsia="仿宋_GB2312" w:cs="Times New Roman"/>
          <w:i w:val="0"/>
          <w:iCs w:val="0"/>
          <w:caps w:val="0"/>
          <w:color w:val="auto"/>
          <w:spacing w:val="0"/>
          <w:sz w:val="32"/>
          <w:szCs w:val="32"/>
          <w:highlight w:val="none"/>
          <w:shd w:val="clear" w:fill="auto"/>
        </w:rPr>
        <w:t>申报项目总数的</w:t>
      </w:r>
      <w:r>
        <w:rPr>
          <w:rFonts w:hint="eastAsia" w:ascii="仿宋_GB2312" w:hAnsi="华文仿宋" w:cs="Times New Roman"/>
          <w:i w:val="0"/>
          <w:iCs w:val="0"/>
          <w:caps w:val="0"/>
          <w:color w:val="auto"/>
          <w:spacing w:val="0"/>
          <w:sz w:val="32"/>
          <w:szCs w:val="32"/>
          <w:highlight w:val="none"/>
          <w:shd w:val="clear" w:fill="auto"/>
          <w:lang w:val="en-US" w:eastAsia="zh-CN"/>
        </w:rPr>
        <w:t>20</w:t>
      </w:r>
      <w:r>
        <w:rPr>
          <w:rFonts w:hint="eastAsia" w:ascii="仿宋_GB2312" w:hAnsi="华文仿宋" w:eastAsia="仿宋_GB2312" w:cs="Times New Roman"/>
          <w:i w:val="0"/>
          <w:iCs w:val="0"/>
          <w:caps w:val="0"/>
          <w:color w:val="auto"/>
          <w:spacing w:val="0"/>
          <w:sz w:val="32"/>
          <w:szCs w:val="32"/>
          <w:highlight w:val="none"/>
          <w:shd w:val="clear" w:fill="auto"/>
        </w:rPr>
        <w:t>%。</w:t>
      </w:r>
      <w:r>
        <w:rPr>
          <w:rFonts w:hint="eastAsia" w:ascii="仿宋_GB2312" w:hAnsi="华文仿宋"/>
          <w:szCs w:val="32"/>
          <w:highlight w:val="none"/>
        </w:rPr>
        <w:t>每届行业</w:t>
      </w:r>
      <w:r>
        <w:rPr>
          <w:rFonts w:hint="eastAsia" w:ascii="仿宋_GB2312" w:hAnsi="华文仿宋"/>
          <w:szCs w:val="32"/>
          <w:highlight w:val="none"/>
          <w:lang w:eastAsia="zh-CN"/>
        </w:rPr>
        <w:t>科技奖</w:t>
      </w:r>
      <w:r>
        <w:rPr>
          <w:rFonts w:hint="eastAsia" w:ascii="仿宋_GB2312" w:hAnsi="华文仿宋"/>
          <w:szCs w:val="32"/>
          <w:highlight w:val="none"/>
        </w:rPr>
        <w:t>授奖数量不超过当届有效申报项目数量的</w:t>
      </w:r>
      <w:r>
        <w:rPr>
          <w:rFonts w:hint="eastAsia" w:ascii="仿宋_GB2312" w:hAnsi="华文仿宋"/>
          <w:szCs w:val="32"/>
          <w:highlight w:val="none"/>
          <w:lang w:val="en-US" w:eastAsia="zh-CN"/>
        </w:rPr>
        <w:t>35</w:t>
      </w:r>
      <w:r>
        <w:rPr>
          <w:rFonts w:hint="eastAsia" w:ascii="仿宋_GB2312" w:hAnsi="华文仿宋"/>
          <w:szCs w:val="32"/>
          <w:highlight w:val="none"/>
        </w:rPr>
        <w:t>%。</w:t>
      </w:r>
    </w:p>
    <w:p>
      <w:pPr>
        <w:snapToGrid w:val="0"/>
        <w:spacing w:afterLines="0" w:line="540" w:lineRule="exact"/>
        <w:ind w:firstLine="640" w:firstLineChars="200"/>
        <w:rPr>
          <w:rFonts w:ascii="仿宋_GB2312" w:hAnsi="华文仿宋"/>
          <w:szCs w:val="32"/>
        </w:rPr>
      </w:pPr>
    </w:p>
    <w:p>
      <w:pPr>
        <w:snapToGrid w:val="0"/>
        <w:spacing w:afterLines="0" w:line="540" w:lineRule="exact"/>
        <w:ind w:firstLine="0" w:firstLineChars="0"/>
        <w:jc w:val="center"/>
        <w:outlineLvl w:val="0"/>
        <w:rPr>
          <w:rFonts w:hint="eastAsia" w:ascii="仿宋_GB2312" w:hAnsi="华文仿宋"/>
          <w:b w:val="0"/>
          <w:szCs w:val="32"/>
        </w:rPr>
      </w:pPr>
      <w:r>
        <w:rPr>
          <w:rFonts w:hint="eastAsia" w:ascii="仿宋_GB2312" w:hAnsi="华文仿宋"/>
          <w:b/>
          <w:szCs w:val="32"/>
        </w:rPr>
        <w:t>第三章 组织管理</w:t>
      </w:r>
    </w:p>
    <w:p>
      <w:pPr>
        <w:numPr>
          <w:ilvl w:val="0"/>
          <w:numId w:val="1"/>
        </w:numPr>
        <w:snapToGrid w:val="0"/>
        <w:spacing w:afterLines="0" w:line="540" w:lineRule="exact"/>
        <w:ind w:firstLine="640" w:firstLineChars="200"/>
        <w:rPr>
          <w:rFonts w:ascii="仿宋_GB2312" w:hAnsi="华文仿宋"/>
          <w:szCs w:val="32"/>
        </w:rPr>
      </w:pPr>
      <w:r>
        <w:rPr>
          <w:rFonts w:hint="eastAsia" w:ascii="仿宋_GB2312" w:hAnsi="华文仿宋"/>
          <w:szCs w:val="32"/>
        </w:rPr>
        <w:t>设立</w:t>
      </w:r>
      <w:r>
        <w:rPr>
          <w:rFonts w:hint="default" w:ascii="仿宋_GB2312" w:hAnsi="华文仿宋"/>
          <w:szCs w:val="32"/>
          <w:lang w:eastAsia="zh-CN"/>
        </w:rPr>
        <w:t>证券期货</w:t>
      </w:r>
      <w:r>
        <w:rPr>
          <w:rFonts w:hint="eastAsia" w:ascii="仿宋_GB2312" w:hAnsi="华文仿宋"/>
          <w:szCs w:val="32"/>
        </w:rPr>
        <w:t>业科学技术奖励委员会（以下简称“奖励委员会”），负责对行业科技奖励工作进行监督和指导。奖励委员会设主任委员1名，常务副主任委员1名，副主任委员3-5名，委员若干名。</w:t>
      </w:r>
    </w:p>
    <w:p>
      <w:pPr>
        <w:snapToGrid w:val="0"/>
        <w:spacing w:afterLines="0" w:line="540" w:lineRule="exact"/>
        <w:ind w:firstLine="640" w:firstLineChars="200"/>
        <w:rPr>
          <w:rFonts w:ascii="仿宋_GB2312" w:hAnsi="华文仿宋"/>
          <w:szCs w:val="32"/>
        </w:rPr>
      </w:pPr>
      <w:r>
        <w:rPr>
          <w:rFonts w:hint="eastAsia" w:ascii="仿宋_GB2312" w:hAnsi="华文仿宋"/>
          <w:szCs w:val="32"/>
        </w:rPr>
        <w:t>奖励委员会下设科技奖励工作办公室（以下简称“奖励办”），奖励办由中国证券业协会、中国期货业协会和中国证券投资基金业协会等单位工作人员组成，负责行业科技奖的日常工作。奖励办设主任1名，副主任2名。</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奖励委员会主要职责为：</w:t>
      </w:r>
    </w:p>
    <w:p>
      <w:pPr>
        <w:pStyle w:val="3"/>
        <w:spacing w:afterLines="0" w:line="540" w:lineRule="exact"/>
        <w:ind w:firstLine="640"/>
        <w:rPr>
          <w:rFonts w:hAnsi="华文仿宋"/>
          <w:sz w:val="32"/>
          <w:szCs w:val="32"/>
        </w:rPr>
      </w:pPr>
      <w:r>
        <w:rPr>
          <w:rFonts w:hint="eastAsia" w:hAnsi="华文仿宋"/>
          <w:sz w:val="32"/>
          <w:szCs w:val="32"/>
        </w:rPr>
        <w:t>（一）负责审定行业科技奖工作的有关管理规定和工作方案；</w:t>
      </w:r>
    </w:p>
    <w:p>
      <w:pPr>
        <w:pStyle w:val="3"/>
        <w:spacing w:afterLines="0" w:line="540" w:lineRule="exact"/>
        <w:ind w:firstLine="640"/>
        <w:rPr>
          <w:rFonts w:hAnsi="华文仿宋"/>
          <w:sz w:val="32"/>
          <w:szCs w:val="32"/>
        </w:rPr>
      </w:pPr>
      <w:r>
        <w:rPr>
          <w:rFonts w:hint="eastAsia" w:hAnsi="华文仿宋"/>
          <w:sz w:val="32"/>
          <w:szCs w:val="32"/>
        </w:rPr>
        <w:t>（二）负责对行业科技奖工作进行监督、指导；</w:t>
      </w:r>
    </w:p>
    <w:p>
      <w:pPr>
        <w:pStyle w:val="3"/>
        <w:spacing w:afterLines="0" w:line="540" w:lineRule="exact"/>
        <w:ind w:firstLine="640"/>
        <w:rPr>
          <w:rFonts w:hAnsi="华文仿宋"/>
          <w:sz w:val="32"/>
          <w:szCs w:val="32"/>
        </w:rPr>
      </w:pPr>
      <w:r>
        <w:rPr>
          <w:rFonts w:hint="eastAsia" w:hAnsi="华文仿宋"/>
          <w:sz w:val="32"/>
          <w:szCs w:val="32"/>
        </w:rPr>
        <w:t>（三）负责审定行业科技奖终审结果；</w:t>
      </w:r>
    </w:p>
    <w:p>
      <w:pPr>
        <w:pStyle w:val="3"/>
        <w:spacing w:afterLines="0" w:line="540" w:lineRule="exact"/>
        <w:ind w:firstLine="640"/>
        <w:rPr>
          <w:rFonts w:hAnsi="华文仿宋"/>
          <w:sz w:val="32"/>
          <w:szCs w:val="32"/>
        </w:rPr>
      </w:pPr>
      <w:r>
        <w:rPr>
          <w:rFonts w:hint="eastAsia" w:hAnsi="华文仿宋"/>
          <w:sz w:val="32"/>
          <w:szCs w:val="32"/>
        </w:rPr>
        <w:t>（四）负责审定存在争议的投诉举报和异议处理结果。</w:t>
      </w:r>
    </w:p>
    <w:p>
      <w:pPr>
        <w:numPr>
          <w:ilvl w:val="0"/>
          <w:numId w:val="1"/>
        </w:numPr>
        <w:spacing w:afterLines="0" w:line="540" w:lineRule="exact"/>
        <w:ind w:firstLine="640" w:firstLineChars="200"/>
        <w:jc w:val="left"/>
        <w:rPr>
          <w:rFonts w:hint="eastAsia" w:ascii="仿宋_GB2312" w:hAnsi="华文仿宋"/>
          <w:sz w:val="32"/>
          <w:szCs w:val="32"/>
        </w:rPr>
      </w:pPr>
      <w:r>
        <w:rPr>
          <w:rFonts w:hint="eastAsia" w:ascii="仿宋_GB2312" w:hAnsi="华文仿宋"/>
          <w:sz w:val="32"/>
          <w:szCs w:val="32"/>
        </w:rPr>
        <w:t>奖励办主要职责为：</w:t>
      </w:r>
    </w:p>
    <w:p>
      <w:pPr>
        <w:pStyle w:val="3"/>
        <w:spacing w:afterLines="0" w:line="540" w:lineRule="exact"/>
        <w:ind w:firstLine="640"/>
        <w:rPr>
          <w:rFonts w:hAnsi="华文仿宋"/>
          <w:sz w:val="32"/>
          <w:szCs w:val="32"/>
        </w:rPr>
      </w:pPr>
      <w:r>
        <w:rPr>
          <w:rFonts w:hint="eastAsia" w:hAnsi="华文仿宋"/>
          <w:sz w:val="32"/>
          <w:szCs w:val="32"/>
        </w:rPr>
        <w:t>（一）制定行业科技奖励工作的有关管理规定和工作方案；</w:t>
      </w:r>
    </w:p>
    <w:p>
      <w:pPr>
        <w:pStyle w:val="3"/>
        <w:spacing w:afterLines="0" w:line="540" w:lineRule="exact"/>
        <w:ind w:firstLine="640"/>
        <w:rPr>
          <w:rFonts w:hAnsi="华文仿宋"/>
          <w:sz w:val="32"/>
          <w:szCs w:val="32"/>
        </w:rPr>
      </w:pPr>
      <w:r>
        <w:rPr>
          <w:rFonts w:hint="eastAsia" w:hAnsi="华文仿宋"/>
          <w:sz w:val="32"/>
          <w:szCs w:val="32"/>
        </w:rPr>
        <w:t>（二）建立并完善行业科技奖评审专家数据库；</w:t>
      </w:r>
    </w:p>
    <w:p>
      <w:pPr>
        <w:pStyle w:val="3"/>
        <w:spacing w:afterLines="0" w:line="540" w:lineRule="exact"/>
        <w:ind w:firstLine="640"/>
        <w:rPr>
          <w:rFonts w:hAnsi="华文仿宋"/>
          <w:sz w:val="32"/>
          <w:szCs w:val="32"/>
        </w:rPr>
      </w:pPr>
      <w:r>
        <w:rPr>
          <w:rFonts w:hint="eastAsia" w:hAnsi="华文仿宋"/>
          <w:sz w:val="32"/>
          <w:szCs w:val="32"/>
        </w:rPr>
        <w:t>（三）建设管理行业科技奖网站</w:t>
      </w:r>
      <w:r>
        <w:rPr>
          <w:rFonts w:hAnsi="华文仿宋"/>
          <w:sz w:val="32"/>
          <w:szCs w:val="32"/>
        </w:rPr>
        <w:t>和评审系统</w:t>
      </w:r>
      <w:r>
        <w:rPr>
          <w:rFonts w:hint="eastAsia" w:hAnsi="华文仿宋"/>
          <w:sz w:val="32"/>
          <w:szCs w:val="32"/>
        </w:rPr>
        <w:t>；</w:t>
      </w:r>
    </w:p>
    <w:p>
      <w:pPr>
        <w:pStyle w:val="3"/>
        <w:spacing w:afterLines="0" w:line="540" w:lineRule="exact"/>
        <w:ind w:firstLine="640"/>
        <w:rPr>
          <w:rFonts w:hAnsi="华文仿宋"/>
          <w:sz w:val="32"/>
          <w:szCs w:val="32"/>
        </w:rPr>
      </w:pPr>
      <w:r>
        <w:rPr>
          <w:rFonts w:hint="eastAsia" w:hAnsi="华文仿宋"/>
          <w:sz w:val="32"/>
          <w:szCs w:val="32"/>
        </w:rPr>
        <w:t>（四）组织开展行业科技奖的评审、颁奖、宣传工作；</w:t>
      </w:r>
    </w:p>
    <w:p>
      <w:pPr>
        <w:pStyle w:val="3"/>
        <w:spacing w:afterLines="0" w:line="540" w:lineRule="exact"/>
        <w:ind w:firstLine="640"/>
        <w:rPr>
          <w:rFonts w:hAnsi="华文仿宋"/>
          <w:sz w:val="32"/>
          <w:szCs w:val="32"/>
        </w:rPr>
      </w:pPr>
      <w:r>
        <w:rPr>
          <w:rFonts w:hint="eastAsia" w:hAnsi="华文仿宋"/>
          <w:sz w:val="32"/>
          <w:szCs w:val="32"/>
        </w:rPr>
        <w:t>（五）接受和处理行业科技奖投诉举报及争议事项；</w:t>
      </w:r>
    </w:p>
    <w:p>
      <w:pPr>
        <w:pStyle w:val="3"/>
        <w:spacing w:afterLines="0" w:line="540" w:lineRule="exact"/>
        <w:ind w:firstLine="640"/>
        <w:rPr>
          <w:rFonts w:hAnsi="华文仿宋"/>
          <w:sz w:val="32"/>
          <w:szCs w:val="32"/>
        </w:rPr>
      </w:pPr>
      <w:r>
        <w:rPr>
          <w:rFonts w:hint="eastAsia" w:hAnsi="华文仿宋"/>
          <w:sz w:val="32"/>
          <w:szCs w:val="32"/>
        </w:rPr>
        <w:t>（六）负责行业科技奖资金的筹集、使用、审计工作；</w:t>
      </w:r>
    </w:p>
    <w:p>
      <w:pPr>
        <w:pStyle w:val="3"/>
        <w:spacing w:afterLines="0" w:line="540" w:lineRule="exact"/>
        <w:ind w:firstLine="640"/>
        <w:rPr>
          <w:rFonts w:hAnsi="华文仿宋"/>
          <w:sz w:val="32"/>
          <w:szCs w:val="32"/>
        </w:rPr>
      </w:pPr>
      <w:r>
        <w:rPr>
          <w:rFonts w:hint="eastAsia" w:hAnsi="华文仿宋"/>
          <w:sz w:val="32"/>
          <w:szCs w:val="32"/>
        </w:rPr>
        <w:t xml:space="preserve">（七）负责国家科技奖励办公室交办的工作； </w:t>
      </w:r>
    </w:p>
    <w:p>
      <w:pPr>
        <w:pStyle w:val="3"/>
        <w:spacing w:afterLines="0" w:line="540" w:lineRule="exact"/>
        <w:ind w:firstLine="640"/>
        <w:jc w:val="left"/>
        <w:rPr>
          <w:rFonts w:hint="eastAsia" w:hAnsi="华文仿宋"/>
          <w:sz w:val="32"/>
          <w:szCs w:val="32"/>
        </w:rPr>
      </w:pPr>
      <w:r>
        <w:rPr>
          <w:rFonts w:hint="eastAsia" w:hAnsi="华文仿宋"/>
          <w:sz w:val="32"/>
          <w:szCs w:val="32"/>
        </w:rPr>
        <w:t>（八）负责行业科技奖有关的其他工作。</w:t>
      </w:r>
    </w:p>
    <w:p>
      <w:pPr>
        <w:pStyle w:val="3"/>
        <w:spacing w:afterLines="0" w:line="540" w:lineRule="exact"/>
        <w:ind w:firstLine="640"/>
        <w:jc w:val="center"/>
        <w:rPr>
          <w:rFonts w:hAnsi="华文仿宋"/>
          <w:sz w:val="32"/>
          <w:szCs w:val="32"/>
        </w:rPr>
      </w:pPr>
      <w:bookmarkStart w:id="0" w:name="OLE_LINK5"/>
      <w:bookmarkStart w:id="1" w:name="OLE_LINK6"/>
    </w:p>
    <w:p>
      <w:pPr>
        <w:pStyle w:val="3"/>
        <w:spacing w:afterLines="0" w:line="540" w:lineRule="exact"/>
        <w:ind w:firstLine="0"/>
        <w:jc w:val="center"/>
        <w:outlineLvl w:val="0"/>
        <w:rPr>
          <w:rFonts w:hAnsi="华文仿宋"/>
          <w:b/>
          <w:sz w:val="32"/>
          <w:szCs w:val="32"/>
        </w:rPr>
      </w:pPr>
      <w:r>
        <w:rPr>
          <w:rFonts w:hint="eastAsia" w:hAnsi="华文仿宋"/>
          <w:b/>
          <w:sz w:val="32"/>
          <w:szCs w:val="32"/>
        </w:rPr>
        <w:t>第四章 项目申报</w:t>
      </w:r>
    </w:p>
    <w:p>
      <w:pPr>
        <w:numPr>
          <w:ilvl w:val="0"/>
          <w:numId w:val="1"/>
        </w:numPr>
        <w:spacing w:afterLines="0" w:line="540" w:lineRule="exact"/>
        <w:ind w:firstLine="640" w:firstLineChars="200"/>
        <w:jc w:val="left"/>
        <w:rPr>
          <w:rFonts w:hint="eastAsia" w:ascii="仿宋_GB2312" w:hAnsi="华文仿宋" w:eastAsia="仿宋_GB2312"/>
          <w:sz w:val="32"/>
          <w:szCs w:val="32"/>
          <w:lang w:eastAsia="zh-CN"/>
        </w:rPr>
      </w:pPr>
      <w:r>
        <w:rPr>
          <w:rFonts w:hint="eastAsia" w:ascii="仿宋_GB2312" w:hAnsi="华文仿宋"/>
          <w:sz w:val="32"/>
          <w:szCs w:val="32"/>
        </w:rPr>
        <w:t>行业各单位负责本单位科技奖项目的独立申报，或与其下属单位的联合申报。其下属单位独立申报科技奖项目，必须经由上级单位推荐。</w:t>
      </w:r>
    </w:p>
    <w:p>
      <w:pPr>
        <w:pStyle w:val="3"/>
        <w:spacing w:afterLines="0" w:line="540" w:lineRule="exact"/>
        <w:ind w:firstLine="640"/>
        <w:rPr>
          <w:rFonts w:hAnsi="华文仿宋"/>
          <w:sz w:val="32"/>
          <w:szCs w:val="32"/>
        </w:rPr>
      </w:pPr>
      <w:r>
        <w:rPr>
          <w:rFonts w:hint="eastAsia" w:hAnsi="华文仿宋"/>
          <w:sz w:val="32"/>
          <w:szCs w:val="32"/>
        </w:rPr>
        <w:t>近3年平均管理规模超过100亿元的私募证券基金管理人</w:t>
      </w:r>
      <w:r>
        <w:rPr>
          <w:rFonts w:hint="eastAsia" w:hAnsi="华文仿宋"/>
          <w:sz w:val="32"/>
          <w:szCs w:val="32"/>
          <w:lang w:eastAsia="zh-CN"/>
        </w:rPr>
        <w:t>，</w:t>
      </w:r>
      <w:r>
        <w:rPr>
          <w:rFonts w:hint="eastAsia" w:hAnsi="华文仿宋"/>
          <w:sz w:val="32"/>
          <w:szCs w:val="32"/>
        </w:rPr>
        <w:t>为证券期货业提供重要信息系统</w:t>
      </w:r>
      <w:r>
        <w:rPr>
          <w:rFonts w:hint="eastAsia" w:hAnsi="华文仿宋"/>
          <w:sz w:val="32"/>
          <w:szCs w:val="32"/>
          <w:lang w:eastAsia="zh-CN"/>
        </w:rPr>
        <w:t>且</w:t>
      </w:r>
      <w:r>
        <w:rPr>
          <w:rFonts w:hint="eastAsia" w:hAnsi="华文仿宋"/>
          <w:sz w:val="32"/>
          <w:szCs w:val="32"/>
        </w:rPr>
        <w:t>行业客户在100家（含）以上的备案信息技术系统服务机构均可独立申报，其它金融机构、证券服务机构及科研院校，应与行业内科技成果应用单位联合申报。</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两个或两个以上单位共同完成的项目，由项目主持单位或第一完成单位加盖公章后报奖励办，其他完成单位应当出具同意联合申报的函。</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行业科技奖对申报项目的主要完成人和完成单位数量进行如下限制:</w:t>
      </w:r>
    </w:p>
    <w:p>
      <w:pPr>
        <w:snapToGrid w:val="0"/>
        <w:spacing w:afterLines="0" w:line="540" w:lineRule="exact"/>
        <w:ind w:firstLine="640" w:firstLineChars="200"/>
        <w:rPr>
          <w:rFonts w:ascii="仿宋_GB2312" w:hAnsi="华文仿宋"/>
          <w:szCs w:val="32"/>
        </w:rPr>
      </w:pPr>
      <w:r>
        <w:rPr>
          <w:rFonts w:hint="eastAsia" w:ascii="仿宋_GB2312" w:hAnsi="华文仿宋"/>
          <w:szCs w:val="32"/>
        </w:rPr>
        <w:t>一等奖每项主要完成人不超过15人，联合申报单位不超过10个；</w:t>
      </w:r>
    </w:p>
    <w:p>
      <w:pPr>
        <w:snapToGrid w:val="0"/>
        <w:spacing w:afterLines="0" w:line="540" w:lineRule="exact"/>
        <w:ind w:firstLine="640" w:firstLineChars="200"/>
        <w:rPr>
          <w:rFonts w:ascii="仿宋_GB2312" w:hAnsi="华文仿宋"/>
          <w:szCs w:val="32"/>
        </w:rPr>
      </w:pPr>
      <w:r>
        <w:rPr>
          <w:rFonts w:hint="eastAsia" w:ascii="仿宋_GB2312" w:hAnsi="华文仿宋"/>
          <w:szCs w:val="32"/>
        </w:rPr>
        <w:t>二、三等奖每项主要完成人不超过10人，联合申报单位不超过7个。</w:t>
      </w:r>
    </w:p>
    <w:p>
      <w:pPr>
        <w:snapToGrid w:val="0"/>
        <w:spacing w:afterLines="0" w:line="540" w:lineRule="exact"/>
        <w:ind w:firstLine="640" w:firstLineChars="200"/>
        <w:rPr>
          <w:rFonts w:ascii="仿宋_GB2312" w:hAnsi="华文仿宋"/>
          <w:szCs w:val="32"/>
        </w:rPr>
      </w:pPr>
    </w:p>
    <w:p>
      <w:pPr>
        <w:spacing w:after="0" w:afterLines="0" w:line="540" w:lineRule="exact"/>
        <w:jc w:val="center"/>
        <w:outlineLvl w:val="0"/>
        <w:rPr>
          <w:rFonts w:ascii="仿宋_GB2312" w:hAnsi="华文仿宋"/>
          <w:b/>
          <w:szCs w:val="32"/>
        </w:rPr>
      </w:pPr>
      <w:r>
        <w:rPr>
          <w:rFonts w:hint="eastAsia" w:ascii="仿宋_GB2312" w:hAnsi="华文仿宋"/>
          <w:b/>
          <w:szCs w:val="32"/>
        </w:rPr>
        <w:t>第五章 遴选专家</w:t>
      </w:r>
    </w:p>
    <w:p>
      <w:pPr>
        <w:numPr>
          <w:ilvl w:val="0"/>
          <w:numId w:val="1"/>
        </w:numPr>
        <w:spacing w:afterLines="0" w:line="540" w:lineRule="exact"/>
        <w:ind w:firstLine="640" w:firstLineChars="200"/>
        <w:jc w:val="both"/>
        <w:rPr>
          <w:rFonts w:hint="eastAsia" w:ascii="仿宋_GB2312" w:hAnsi="华文仿宋"/>
          <w:sz w:val="32"/>
          <w:szCs w:val="32"/>
        </w:rPr>
      </w:pPr>
      <w:r>
        <w:rPr>
          <w:rFonts w:hint="eastAsia" w:ascii="仿宋_GB2312" w:hAnsi="华文仿宋"/>
          <w:sz w:val="32"/>
          <w:szCs w:val="32"/>
        </w:rPr>
        <w:t>为保障行业科技奖评审工作的顺利进行，保证评审工作具有权威性、客观性和公正性，奖励办应建立行业科技奖评审专家库。</w:t>
      </w:r>
    </w:p>
    <w:p>
      <w:pPr>
        <w:numPr>
          <w:ilvl w:val="0"/>
          <w:numId w:val="1"/>
        </w:numPr>
        <w:spacing w:afterLines="0" w:line="540" w:lineRule="exact"/>
        <w:ind w:firstLine="640" w:firstLineChars="200"/>
        <w:jc w:val="both"/>
        <w:rPr>
          <w:rFonts w:hint="eastAsia" w:ascii="仿宋_GB2312" w:hAnsi="华文仿宋"/>
          <w:sz w:val="32"/>
          <w:szCs w:val="32"/>
        </w:rPr>
      </w:pPr>
      <w:r>
        <w:rPr>
          <w:rFonts w:hint="eastAsia" w:ascii="仿宋_GB2312" w:hAnsi="华文仿宋"/>
          <w:sz w:val="32"/>
          <w:szCs w:val="32"/>
        </w:rPr>
        <w:t>评审专家由</w:t>
      </w:r>
      <w:r>
        <w:rPr>
          <w:rFonts w:hint="eastAsia" w:ascii="仿宋_GB2312" w:hAnsi="华文仿宋"/>
          <w:sz w:val="32"/>
          <w:szCs w:val="32"/>
          <w:lang w:eastAsia="zh-CN"/>
        </w:rPr>
        <w:t>证券期货业科技监管专家库系统抽取，结合</w:t>
      </w:r>
      <w:r>
        <w:rPr>
          <w:rFonts w:hint="eastAsia" w:ascii="仿宋_GB2312" w:hAnsi="华文仿宋"/>
          <w:sz w:val="32"/>
          <w:szCs w:val="32"/>
        </w:rPr>
        <w:t>行业协会、</w:t>
      </w:r>
      <w:r>
        <w:rPr>
          <w:rFonts w:hint="eastAsia" w:ascii="仿宋_GB2312" w:hAnsi="华文仿宋"/>
          <w:sz w:val="32"/>
          <w:szCs w:val="32"/>
          <w:lang w:eastAsia="zh-CN"/>
        </w:rPr>
        <w:t>证券期货</w:t>
      </w:r>
      <w:r>
        <w:rPr>
          <w:rFonts w:hint="eastAsia" w:ascii="仿宋_GB2312" w:hAnsi="华文仿宋"/>
          <w:sz w:val="32"/>
          <w:szCs w:val="32"/>
        </w:rPr>
        <w:t>交易所和行业主管部门推荐产生。专家来源主要包括行业内外的专家，其中行业外专家比例不低于30%。</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符合下列条件的行业内专家可作为科技奖评审专家：</w:t>
      </w:r>
    </w:p>
    <w:p>
      <w:pPr>
        <w:spacing w:afterLines="0" w:line="540" w:lineRule="exact"/>
        <w:ind w:firstLine="640" w:firstLineChars="200"/>
        <w:jc w:val="both"/>
        <w:rPr>
          <w:rFonts w:ascii="仿宋_GB2312" w:hAnsi="华文仿宋"/>
          <w:szCs w:val="32"/>
        </w:rPr>
      </w:pPr>
      <w:r>
        <w:rPr>
          <w:rFonts w:hint="eastAsia" w:ascii="仿宋_GB2312" w:hAnsi="华文仿宋"/>
          <w:szCs w:val="32"/>
        </w:rPr>
        <w:t xml:space="preserve">（一）理工类专业大学本科以上学历，从事相关领域的专业研究或相关工作8年以上； </w:t>
      </w:r>
    </w:p>
    <w:p>
      <w:pPr>
        <w:spacing w:afterLines="0" w:line="540" w:lineRule="exact"/>
        <w:ind w:firstLine="640" w:firstLineChars="200"/>
        <w:jc w:val="both"/>
        <w:rPr>
          <w:rFonts w:ascii="仿宋_GB2312" w:hAnsi="华文仿宋"/>
          <w:szCs w:val="32"/>
        </w:rPr>
      </w:pPr>
      <w:r>
        <w:rPr>
          <w:rFonts w:hint="eastAsia" w:ascii="仿宋_GB2312" w:hAnsi="华文仿宋"/>
          <w:szCs w:val="32"/>
        </w:rPr>
        <w:t>（二）作为主要完成人参与完成过</w:t>
      </w:r>
      <w:r>
        <w:rPr>
          <w:rFonts w:hint="eastAsia" w:ascii="仿宋_GB2312" w:hAnsi="仿宋"/>
          <w:bCs/>
          <w:szCs w:val="32"/>
        </w:rPr>
        <w:t>大型工程</w:t>
      </w:r>
      <w:r>
        <w:rPr>
          <w:rFonts w:hint="eastAsia" w:ascii="仿宋_GB2312" w:hAnsi="华文仿宋"/>
          <w:szCs w:val="32"/>
        </w:rPr>
        <w:t>项目或取得过科技成果；或获得过本专业技术发明或实用新型专利；或主持</w:t>
      </w:r>
      <w:r>
        <w:rPr>
          <w:rFonts w:hint="eastAsia" w:ascii="仿宋_GB2312" w:hAnsi="仿宋"/>
          <w:bCs/>
          <w:szCs w:val="32"/>
        </w:rPr>
        <w:t>编写</w:t>
      </w:r>
      <w:r>
        <w:rPr>
          <w:rFonts w:hint="eastAsia" w:ascii="仿宋_GB2312" w:hAnsi="华文仿宋"/>
          <w:szCs w:val="32"/>
        </w:rPr>
        <w:t>过</w:t>
      </w:r>
      <w:r>
        <w:rPr>
          <w:rFonts w:hint="eastAsia" w:ascii="仿宋_GB2312" w:hAnsi="仿宋"/>
          <w:bCs/>
          <w:szCs w:val="32"/>
        </w:rPr>
        <w:t>国家或行业技术标准、技术规范或生产操作规程</w:t>
      </w:r>
      <w:r>
        <w:rPr>
          <w:rFonts w:hint="eastAsia" w:ascii="仿宋_GB2312" w:hAnsi="华文仿宋"/>
          <w:szCs w:val="32"/>
        </w:rPr>
        <w:t>；或作为主要完成人公开出版过专业著作；</w:t>
      </w:r>
    </w:p>
    <w:p>
      <w:pPr>
        <w:spacing w:afterLines="0" w:line="540" w:lineRule="exact"/>
        <w:ind w:firstLine="640" w:firstLineChars="200"/>
        <w:jc w:val="both"/>
        <w:rPr>
          <w:rFonts w:ascii="仿宋_GB2312" w:hAnsi="华文仿宋"/>
          <w:szCs w:val="32"/>
        </w:rPr>
      </w:pPr>
      <w:r>
        <w:rPr>
          <w:rFonts w:hint="eastAsia" w:ascii="仿宋_GB2312" w:hAnsi="华文仿宋"/>
          <w:szCs w:val="32"/>
        </w:rPr>
        <w:t>（三）</w:t>
      </w:r>
      <w:r>
        <w:rPr>
          <w:rFonts w:hint="eastAsia" w:ascii="仿宋_GB2312" w:hAnsi="仿宋"/>
          <w:bCs/>
          <w:szCs w:val="32"/>
        </w:rPr>
        <w:t>在2年之内未受到行业监管机构或自律组织的处罚。</w:t>
      </w:r>
    </w:p>
    <w:p>
      <w:pPr>
        <w:spacing w:afterLines="0" w:line="540" w:lineRule="exact"/>
        <w:ind w:firstLine="640" w:firstLineChars="200"/>
        <w:jc w:val="both"/>
        <w:rPr>
          <w:rFonts w:ascii="仿宋_GB2312" w:hAnsi="华文仿宋"/>
          <w:szCs w:val="32"/>
        </w:rPr>
      </w:pPr>
      <w:r>
        <w:rPr>
          <w:rFonts w:hint="eastAsia" w:ascii="仿宋_GB2312" w:hAnsi="华文仿宋"/>
          <w:szCs w:val="32"/>
        </w:rPr>
        <w:t>（四）关心行业科技发展，热心行业科学技术奖励评审工作，能够积极参加各类评审活动。</w:t>
      </w:r>
    </w:p>
    <w:p>
      <w:pPr>
        <w:spacing w:afterLines="0" w:line="540" w:lineRule="exact"/>
        <w:ind w:firstLine="640" w:firstLineChars="200"/>
        <w:jc w:val="both"/>
        <w:rPr>
          <w:rFonts w:ascii="仿宋_GB2312" w:hAnsi="华文仿宋"/>
          <w:szCs w:val="32"/>
        </w:rPr>
      </w:pPr>
      <w:r>
        <w:rPr>
          <w:rFonts w:hint="eastAsia" w:ascii="仿宋_GB2312" w:hAnsi="华文仿宋"/>
          <w:szCs w:val="32"/>
        </w:rPr>
        <w:t>参与行业科技奖评审的行业外专家，应为科技领域专家，且了解</w:t>
      </w:r>
      <w:r>
        <w:rPr>
          <w:rFonts w:hint="eastAsia" w:ascii="仿宋_GB2312" w:hAnsi="华文仿宋"/>
          <w:szCs w:val="32"/>
          <w:lang w:eastAsia="zh-CN"/>
        </w:rPr>
        <w:t>证券期货</w:t>
      </w:r>
      <w:r>
        <w:rPr>
          <w:rFonts w:hint="eastAsia" w:ascii="仿宋_GB2312" w:hAnsi="华文仿宋"/>
          <w:szCs w:val="32"/>
        </w:rPr>
        <w:t>业科技发展状况。</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奖励办在每次评审前，根据分组情况、评审项目学科分布、数量等确定评审专家数量。每组评审专家不得少于9人，其中行业外专家不得少于30%。</w:t>
      </w:r>
    </w:p>
    <w:p>
      <w:pPr>
        <w:spacing w:afterLines="0" w:line="540" w:lineRule="exact"/>
        <w:ind w:firstLine="640" w:firstLineChars="200"/>
        <w:jc w:val="both"/>
        <w:rPr>
          <w:rFonts w:ascii="仿宋_GB2312" w:hAnsi="华文仿宋"/>
          <w:szCs w:val="32"/>
        </w:rPr>
      </w:pPr>
      <w:r>
        <w:rPr>
          <w:rFonts w:hint="eastAsia" w:ascii="仿宋_GB2312" w:hAnsi="华文仿宋"/>
          <w:szCs w:val="32"/>
        </w:rPr>
        <w:t>奖励办通过工作会议的形式，从专家库中遴选专家，提出专家名单。遴选专家应充分考虑评审专家的行业背景、专业背景。</w:t>
      </w:r>
    </w:p>
    <w:p>
      <w:pPr>
        <w:snapToGrid w:val="0"/>
        <w:spacing w:afterLines="0" w:line="540" w:lineRule="exact"/>
        <w:jc w:val="center"/>
        <w:rPr>
          <w:rFonts w:ascii="仿宋_GB2312" w:hAnsi="华文仿宋"/>
          <w:szCs w:val="32"/>
        </w:rPr>
      </w:pPr>
    </w:p>
    <w:p>
      <w:pPr>
        <w:snapToGrid w:val="0"/>
        <w:spacing w:afterLines="0" w:line="540" w:lineRule="exact"/>
        <w:jc w:val="center"/>
        <w:outlineLvl w:val="0"/>
        <w:rPr>
          <w:rFonts w:ascii="仿宋_GB2312" w:hAnsi="华文仿宋"/>
          <w:b/>
          <w:szCs w:val="32"/>
        </w:rPr>
      </w:pPr>
      <w:r>
        <w:rPr>
          <w:rFonts w:hint="eastAsia" w:ascii="仿宋_GB2312" w:hAnsi="华文仿宋"/>
          <w:b/>
          <w:szCs w:val="32"/>
        </w:rPr>
        <w:t>第六章 形式审查</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奖励办在项目申报结束后，对申报项目材料进行形式审查。审查通过项目进入初审环节。</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申报项目出现下述情况之一的视为形式审查不合格：</w:t>
      </w:r>
    </w:p>
    <w:p>
      <w:pPr>
        <w:spacing w:afterLines="0" w:line="540" w:lineRule="exact"/>
        <w:ind w:firstLine="640" w:firstLineChars="200"/>
        <w:rPr>
          <w:rFonts w:ascii="仿宋_GB2312" w:hAnsi="华文仿宋"/>
          <w:szCs w:val="32"/>
        </w:rPr>
      </w:pPr>
      <w:r>
        <w:rPr>
          <w:rFonts w:hint="eastAsia" w:ascii="仿宋_GB2312" w:hAnsi="华文仿宋"/>
          <w:szCs w:val="32"/>
        </w:rPr>
        <w:t>（一）有本办法第九条规定情形之一的；</w:t>
      </w:r>
    </w:p>
    <w:p>
      <w:pPr>
        <w:spacing w:afterLines="0" w:line="540" w:lineRule="exact"/>
        <w:ind w:firstLine="640" w:firstLineChars="200"/>
        <w:rPr>
          <w:rFonts w:ascii="仿宋_GB2312" w:hAnsi="华文仿宋"/>
          <w:szCs w:val="32"/>
        </w:rPr>
      </w:pPr>
      <w:r>
        <w:rPr>
          <w:rFonts w:hint="eastAsia" w:ascii="仿宋_GB2312" w:hAnsi="华文仿宋"/>
          <w:szCs w:val="32"/>
        </w:rPr>
        <w:t>（二）项目申报单位不符合本办法第八条、第十五条、第十六条、第十七条要求的；</w:t>
      </w:r>
    </w:p>
    <w:p>
      <w:pPr>
        <w:spacing w:afterLines="0" w:line="540" w:lineRule="exact"/>
        <w:ind w:firstLine="640" w:firstLineChars="200"/>
        <w:rPr>
          <w:rFonts w:ascii="仿宋_GB2312" w:hAnsi="华文仿宋"/>
          <w:szCs w:val="32"/>
        </w:rPr>
      </w:pPr>
      <w:r>
        <w:rPr>
          <w:rFonts w:hint="eastAsia" w:ascii="仿宋_GB2312" w:hAnsi="华文仿宋"/>
          <w:szCs w:val="32"/>
        </w:rPr>
        <w:t>（三）申报书内容填写不全的；</w:t>
      </w:r>
    </w:p>
    <w:p>
      <w:pPr>
        <w:spacing w:afterLines="0" w:line="540" w:lineRule="exact"/>
        <w:ind w:firstLine="640" w:firstLineChars="200"/>
        <w:rPr>
          <w:rFonts w:ascii="仿宋_GB2312" w:hAnsi="华文仿宋"/>
          <w:szCs w:val="32"/>
        </w:rPr>
      </w:pPr>
      <w:r>
        <w:rPr>
          <w:rFonts w:hint="eastAsia" w:ascii="仿宋_GB2312" w:hAnsi="华文仿宋"/>
          <w:szCs w:val="32"/>
        </w:rPr>
        <w:t>（四）附件证明材料不能证明申报表内容的；</w:t>
      </w:r>
    </w:p>
    <w:p>
      <w:pPr>
        <w:spacing w:afterLines="0" w:line="540" w:lineRule="exact"/>
        <w:ind w:firstLine="640" w:firstLineChars="200"/>
        <w:rPr>
          <w:rFonts w:ascii="仿宋_GB2312" w:hAnsi="华文仿宋"/>
          <w:szCs w:val="32"/>
        </w:rPr>
      </w:pPr>
      <w:r>
        <w:rPr>
          <w:rFonts w:hint="eastAsia" w:ascii="仿宋_GB2312" w:hAnsi="华文仿宋"/>
          <w:szCs w:val="32"/>
        </w:rPr>
        <w:t>（五）申报单位未加盖公章的；</w:t>
      </w:r>
    </w:p>
    <w:p>
      <w:pPr>
        <w:spacing w:afterLines="0" w:line="540" w:lineRule="exact"/>
        <w:ind w:firstLine="640" w:firstLineChars="200"/>
        <w:rPr>
          <w:rFonts w:ascii="仿宋_GB2312" w:hAnsi="华文仿宋"/>
          <w:szCs w:val="32"/>
        </w:rPr>
      </w:pPr>
      <w:r>
        <w:rPr>
          <w:rFonts w:hint="eastAsia" w:ascii="仿宋_GB2312" w:hAnsi="华文仿宋"/>
          <w:szCs w:val="32"/>
        </w:rPr>
        <w:t>（六）其它不符合要求的情况。</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对于形式审查存在问题的项目，奖励办通知申报单位限期修改，逾期仍不符合要求的，不进入初审环节。</w:t>
      </w:r>
    </w:p>
    <w:p>
      <w:pPr>
        <w:numPr>
          <w:ilvl w:val="0"/>
          <w:numId w:val="1"/>
        </w:numPr>
        <w:spacing w:afterLines="0" w:line="540" w:lineRule="exact"/>
        <w:ind w:firstLine="640" w:firstLineChars="200"/>
        <w:jc w:val="left"/>
        <w:rPr>
          <w:rFonts w:hint="eastAsia" w:ascii="仿宋_GB2312" w:hAnsi="华文仿宋"/>
          <w:sz w:val="32"/>
          <w:szCs w:val="32"/>
        </w:rPr>
      </w:pPr>
      <w:r>
        <w:rPr>
          <w:rFonts w:hint="eastAsia" w:ascii="仿宋_GB2312" w:hAnsi="华文仿宋"/>
          <w:sz w:val="32"/>
          <w:szCs w:val="32"/>
        </w:rPr>
        <w:t>通过形式审查的申报项目在行业科技奖网站和设奖者网站进行公示。公示内容包括申报项目名称、申报单位等基本信息。公示期为7</w:t>
      </w:r>
      <w:r>
        <w:rPr>
          <w:rFonts w:hint="eastAsia" w:ascii="仿宋_GB2312" w:hAnsi="华文仿宋" w:cs="Times New Roman"/>
          <w:kern w:val="2"/>
          <w:sz w:val="32"/>
          <w:szCs w:val="32"/>
        </w:rPr>
        <w:t>个工作日</w:t>
      </w:r>
      <w:r>
        <w:rPr>
          <w:rFonts w:hint="eastAsia" w:ascii="仿宋_GB2312" w:hAnsi="华文仿宋"/>
          <w:sz w:val="32"/>
          <w:szCs w:val="32"/>
        </w:rPr>
        <w:t>。</w:t>
      </w:r>
    </w:p>
    <w:p>
      <w:pPr>
        <w:pStyle w:val="3"/>
        <w:spacing w:afterLines="0" w:line="540" w:lineRule="exact"/>
        <w:ind w:firstLine="640"/>
        <w:rPr>
          <w:rFonts w:hAnsi="华文仿宋"/>
          <w:sz w:val="32"/>
          <w:szCs w:val="32"/>
        </w:rPr>
      </w:pPr>
    </w:p>
    <w:p>
      <w:pPr>
        <w:spacing w:afterLines="0" w:line="540" w:lineRule="exact"/>
        <w:jc w:val="center"/>
        <w:outlineLvl w:val="0"/>
        <w:rPr>
          <w:rFonts w:ascii="仿宋_GB2312" w:hAnsi="华文仿宋"/>
          <w:b/>
          <w:szCs w:val="32"/>
        </w:rPr>
      </w:pPr>
      <w:r>
        <w:rPr>
          <w:rFonts w:hint="eastAsia" w:ascii="仿宋_GB2312" w:hAnsi="华文仿宋"/>
          <w:b/>
          <w:szCs w:val="32"/>
        </w:rPr>
        <w:t>第七章 初审</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奖励办根据受理项目数量、类别、学科、应用对象等要素，结合评审工作具体情况，对受理项目进行评审分组。</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初审采用盲审的方式，由评审专家登录网上评审系统，根据评价指标体系对所负责项目进行评审、打分。评审专家分组实行回避制度。</w:t>
      </w:r>
    </w:p>
    <w:p>
      <w:pPr>
        <w:numPr>
          <w:ilvl w:val="0"/>
          <w:numId w:val="1"/>
        </w:numPr>
        <w:spacing w:afterLines="0" w:line="540" w:lineRule="exact"/>
        <w:ind w:firstLine="640" w:firstLineChars="200"/>
        <w:jc w:val="left"/>
        <w:rPr>
          <w:rFonts w:hint="eastAsia" w:ascii="仿宋_GB2312" w:hAnsi="华文仿宋"/>
          <w:sz w:val="32"/>
          <w:szCs w:val="32"/>
        </w:rPr>
      </w:pPr>
      <w:r>
        <w:rPr>
          <w:rFonts w:hint="eastAsia" w:ascii="仿宋_GB2312" w:hAnsi="华文仿宋"/>
          <w:sz w:val="32"/>
          <w:szCs w:val="32"/>
        </w:rPr>
        <w:t>初审按照项目得分排序，以拟授奖项目总数130%的比例提出进入复审的项目名单。</w:t>
      </w:r>
    </w:p>
    <w:p>
      <w:pPr>
        <w:numPr>
          <w:ilvl w:val="0"/>
          <w:numId w:val="1"/>
        </w:numPr>
        <w:spacing w:afterLines="0" w:line="540" w:lineRule="exact"/>
        <w:ind w:firstLine="640" w:firstLineChars="200"/>
        <w:jc w:val="left"/>
        <w:rPr>
          <w:rFonts w:hint="eastAsia" w:ascii="仿宋_GB2312" w:hAnsi="华文仿宋"/>
          <w:sz w:val="32"/>
          <w:szCs w:val="32"/>
        </w:rPr>
      </w:pPr>
      <w:r>
        <w:rPr>
          <w:rFonts w:hint="eastAsia" w:ascii="仿宋_GB2312" w:hAnsi="华文仿宋"/>
          <w:sz w:val="32"/>
          <w:szCs w:val="32"/>
        </w:rPr>
        <w:t>初审结果在行业科技奖网站和设奖者网站进行公示。公示内容包括申报项目名称、申报单位等基本信息。公示期为7</w:t>
      </w:r>
      <w:r>
        <w:rPr>
          <w:rFonts w:hint="eastAsia" w:ascii="仿宋_GB2312" w:hAnsi="华文仿宋" w:cs="Times New Roman"/>
          <w:kern w:val="2"/>
          <w:sz w:val="32"/>
          <w:szCs w:val="32"/>
        </w:rPr>
        <w:t>个工作日</w:t>
      </w:r>
      <w:r>
        <w:rPr>
          <w:rFonts w:hint="eastAsia" w:ascii="仿宋_GB2312" w:hAnsi="华文仿宋"/>
          <w:sz w:val="32"/>
          <w:szCs w:val="32"/>
        </w:rPr>
        <w:t>。</w:t>
      </w:r>
    </w:p>
    <w:p>
      <w:pPr>
        <w:numPr>
          <w:ilvl w:val="0"/>
          <w:numId w:val="1"/>
        </w:numPr>
        <w:spacing w:afterLines="0" w:line="540" w:lineRule="exact"/>
        <w:ind w:firstLine="640" w:firstLineChars="200"/>
        <w:jc w:val="both"/>
        <w:rPr>
          <w:rFonts w:hint="eastAsia" w:ascii="仿宋_GB2312" w:hAnsi="华文仿宋"/>
          <w:sz w:val="32"/>
          <w:szCs w:val="32"/>
          <w:highlight w:val="none"/>
        </w:rPr>
      </w:pPr>
      <w:r>
        <w:rPr>
          <w:rFonts w:hint="eastAsia" w:ascii="仿宋_GB2312" w:hAnsi="华文仿宋"/>
          <w:sz w:val="32"/>
          <w:szCs w:val="32"/>
          <w:highlight w:val="none"/>
          <w:lang w:eastAsia="zh-CN"/>
        </w:rPr>
        <w:t>公示期届满后，奖励办组织开展社会评议活动，推动公众参与行业科技奖评审过程，</w:t>
      </w:r>
      <w:r>
        <w:rPr>
          <w:rFonts w:hint="eastAsia" w:ascii="仿宋_GB2312" w:hAnsi="华文仿宋" w:eastAsia="仿宋_GB2312" w:cs="Times New Roman"/>
          <w:i w:val="0"/>
          <w:iCs w:val="0"/>
          <w:caps w:val="0"/>
          <w:color w:val="auto"/>
          <w:spacing w:val="0"/>
          <w:sz w:val="32"/>
          <w:szCs w:val="32"/>
          <w:highlight w:val="none"/>
          <w:shd w:val="clear" w:fill="auto"/>
        </w:rPr>
        <w:t>提升</w:t>
      </w:r>
      <w:r>
        <w:rPr>
          <w:rFonts w:hint="eastAsia" w:ascii="仿宋_GB2312" w:hAnsi="华文仿宋" w:cs="Times New Roman"/>
          <w:i w:val="0"/>
          <w:iCs w:val="0"/>
          <w:caps w:val="0"/>
          <w:spacing w:val="0"/>
          <w:sz w:val="32"/>
          <w:szCs w:val="32"/>
          <w:highlight w:val="none"/>
          <w:shd w:val="clear"/>
          <w:lang w:eastAsia="zh-CN"/>
        </w:rPr>
        <w:t>行业</w:t>
      </w:r>
      <w:r>
        <w:rPr>
          <w:rFonts w:hint="eastAsia" w:ascii="仿宋_GB2312" w:hAnsi="华文仿宋" w:eastAsia="仿宋_GB2312" w:cs="Times New Roman"/>
          <w:i w:val="0"/>
          <w:iCs w:val="0"/>
          <w:caps w:val="0"/>
          <w:color w:val="auto"/>
          <w:spacing w:val="0"/>
          <w:sz w:val="32"/>
          <w:szCs w:val="32"/>
          <w:highlight w:val="none"/>
          <w:shd w:val="clear" w:fill="auto"/>
        </w:rPr>
        <w:t>科技奖励的</w:t>
      </w:r>
      <w:r>
        <w:rPr>
          <w:rFonts w:hint="eastAsia" w:ascii="仿宋_GB2312" w:hAnsi="华文仿宋" w:cs="Times New Roman"/>
          <w:i w:val="0"/>
          <w:iCs w:val="0"/>
          <w:caps w:val="0"/>
          <w:color w:val="auto"/>
          <w:spacing w:val="0"/>
          <w:sz w:val="32"/>
          <w:szCs w:val="32"/>
          <w:highlight w:val="none"/>
          <w:shd w:val="clear" w:fill="auto"/>
          <w:lang w:eastAsia="zh-CN"/>
        </w:rPr>
        <w:t>影响</w:t>
      </w:r>
      <w:r>
        <w:rPr>
          <w:rFonts w:hint="eastAsia" w:ascii="仿宋_GB2312" w:hAnsi="华文仿宋" w:eastAsia="仿宋_GB2312" w:cs="Times New Roman"/>
          <w:i w:val="0"/>
          <w:iCs w:val="0"/>
          <w:caps w:val="0"/>
          <w:color w:val="auto"/>
          <w:spacing w:val="0"/>
          <w:sz w:val="32"/>
          <w:szCs w:val="32"/>
          <w:highlight w:val="none"/>
          <w:shd w:val="clear" w:fill="auto"/>
        </w:rPr>
        <w:t>力</w:t>
      </w:r>
      <w:r>
        <w:rPr>
          <w:rFonts w:hint="eastAsia" w:ascii="仿宋_GB2312" w:hAnsi="华文仿宋" w:cs="Times New Roman"/>
          <w:i w:val="0"/>
          <w:iCs w:val="0"/>
          <w:caps w:val="0"/>
          <w:color w:val="auto"/>
          <w:spacing w:val="0"/>
          <w:sz w:val="32"/>
          <w:szCs w:val="32"/>
          <w:highlight w:val="none"/>
          <w:shd w:val="clear" w:fill="auto"/>
          <w:lang w:eastAsia="zh-CN"/>
        </w:rPr>
        <w:t>，接受社会大众监督。</w:t>
      </w:r>
    </w:p>
    <w:p>
      <w:pPr>
        <w:spacing w:afterLines="0" w:line="540" w:lineRule="exact"/>
        <w:jc w:val="center"/>
        <w:rPr>
          <w:rFonts w:ascii="仿宋_GB2312" w:hAnsi="华文仿宋"/>
          <w:szCs w:val="32"/>
        </w:rPr>
      </w:pPr>
    </w:p>
    <w:p>
      <w:pPr>
        <w:spacing w:afterLines="0" w:line="540" w:lineRule="exact"/>
        <w:jc w:val="center"/>
        <w:outlineLvl w:val="0"/>
        <w:rPr>
          <w:rFonts w:ascii="仿宋_GB2312" w:hAnsi="华文仿宋"/>
          <w:b/>
          <w:szCs w:val="32"/>
        </w:rPr>
      </w:pPr>
      <w:r>
        <w:rPr>
          <w:rFonts w:hint="eastAsia" w:ascii="仿宋_GB2312" w:hAnsi="华文仿宋"/>
          <w:b/>
          <w:szCs w:val="32"/>
        </w:rPr>
        <w:t>第八章 复审</w:t>
      </w:r>
    </w:p>
    <w:p>
      <w:pPr>
        <w:numPr>
          <w:ilvl w:val="0"/>
          <w:numId w:val="1"/>
        </w:numPr>
        <w:snapToGrid w:val="0"/>
        <w:spacing w:afterLines="0" w:line="540" w:lineRule="exact"/>
        <w:ind w:firstLine="640" w:firstLineChars="200"/>
        <w:jc w:val="left"/>
        <w:rPr>
          <w:rFonts w:hint="eastAsia" w:ascii="仿宋_GB2312" w:hAnsi="华文仿宋"/>
          <w:b w:val="0"/>
          <w:szCs w:val="32"/>
        </w:rPr>
      </w:pPr>
      <w:r>
        <w:rPr>
          <w:rFonts w:hint="eastAsia" w:ascii="仿宋_GB2312" w:hAnsi="华文仿宋"/>
          <w:szCs w:val="32"/>
        </w:rPr>
        <w:t>奖励办根据初审通过项目的数量、学科类别等要素，充分考虑证券、期货、基金行业之间的差异性，进行复审分组。</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复审采用现场或非现场答辩的形式开展。</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复审专家组每组设组长一名，副组长一名。评审专家分组实行回避制度。组长由业内专家担任，副组长由业外专家担任。</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复审分为项目陈述和专家提问两部分。</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每个项目陈述和专家提问后，由评审专家按照指标体系进行打分。</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复审按照各组项目得分排序，以不超过拟授一、二、三等奖项目总数120%的比例，差额提出进入终审的项目名单。</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奖励办</w:t>
      </w:r>
      <w:r>
        <w:rPr>
          <w:rFonts w:ascii="仿宋_GB2312" w:hAnsi="华文仿宋"/>
          <w:szCs w:val="32"/>
        </w:rPr>
        <w:t>在复审组设置秘书人员，</w:t>
      </w:r>
      <w:r>
        <w:rPr>
          <w:rFonts w:hint="eastAsia" w:ascii="仿宋_GB2312" w:hAnsi="华文仿宋"/>
          <w:szCs w:val="32"/>
        </w:rPr>
        <w:t>负责统分和排序。专家组全体专家签字后将打分统计表交奖励办，由奖励办负责汇总。</w:t>
      </w:r>
    </w:p>
    <w:p>
      <w:pPr>
        <w:spacing w:afterLines="0" w:line="540" w:lineRule="exact"/>
        <w:jc w:val="center"/>
        <w:rPr>
          <w:rFonts w:ascii="仿宋_GB2312" w:hAnsi="华文仿宋"/>
          <w:szCs w:val="32"/>
        </w:rPr>
      </w:pPr>
    </w:p>
    <w:p>
      <w:pPr>
        <w:spacing w:after="0" w:afterLines="0" w:line="540" w:lineRule="exact"/>
        <w:jc w:val="center"/>
        <w:outlineLvl w:val="0"/>
        <w:rPr>
          <w:rFonts w:ascii="仿宋_GB2312" w:hAnsi="华文仿宋"/>
          <w:b/>
          <w:szCs w:val="32"/>
        </w:rPr>
      </w:pPr>
      <w:r>
        <w:rPr>
          <w:rFonts w:hint="eastAsia" w:ascii="仿宋_GB2312" w:hAnsi="华文仿宋"/>
          <w:b/>
          <w:szCs w:val="32"/>
        </w:rPr>
        <w:t>第</w:t>
      </w:r>
      <w:r>
        <w:rPr>
          <w:rFonts w:hint="eastAsia" w:ascii="仿宋_GB2312" w:hAnsi="华文仿宋"/>
          <w:b/>
          <w:szCs w:val="32"/>
          <w:lang w:eastAsia="zh-CN"/>
        </w:rPr>
        <w:t>九</w:t>
      </w:r>
      <w:r>
        <w:rPr>
          <w:rFonts w:hint="eastAsia" w:ascii="仿宋_GB2312" w:hAnsi="华文仿宋"/>
          <w:b/>
          <w:szCs w:val="32"/>
        </w:rPr>
        <w:t>章 终审</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复审结束后，奖励办召开评审会议对通过复审的项目进行终审，确定行业科技奖授奖项目和奖励等级。</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评审会议组成人员包括奖励委员会委员、复审组组长、副组长和部分复审专家，其中行业外专家比例应不低于30%。</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 xml:space="preserve">复审各组组长、副组长负责对本组入围项目情况进行陈述。    </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参会人员推荐各奖等候选项目，奖励办汇总推荐情况并公布各奖等候选项目。</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参会人员对各奖等候选项目投票后产生各奖等拟授奖项目。</w:t>
      </w:r>
    </w:p>
    <w:p>
      <w:pPr>
        <w:numPr>
          <w:ilvl w:val="0"/>
          <w:numId w:val="1"/>
        </w:numPr>
        <w:snapToGrid w:val="0"/>
        <w:spacing w:afterLines="0" w:line="540" w:lineRule="exact"/>
        <w:ind w:firstLine="640" w:firstLineChars="200"/>
        <w:jc w:val="both"/>
        <w:rPr>
          <w:rFonts w:ascii="仿宋_GB2312" w:hAnsi="华文仿宋"/>
          <w:szCs w:val="32"/>
          <w:highlight w:val="none"/>
        </w:rPr>
      </w:pPr>
      <w:r>
        <w:rPr>
          <w:rFonts w:hint="eastAsia" w:ascii="仿宋_GB2312" w:hAnsi="华文仿宋"/>
          <w:szCs w:val="32"/>
          <w:highlight w:val="none"/>
        </w:rPr>
        <w:t>一等奖得票数应超过有效票数的</w:t>
      </w:r>
      <w:r>
        <w:rPr>
          <w:rFonts w:hint="eastAsia" w:ascii="仿宋_GB2312" w:hAnsi="华文仿宋"/>
          <w:szCs w:val="32"/>
          <w:highlight w:val="none"/>
          <w:lang w:eastAsia="zh-CN"/>
        </w:rPr>
        <w:t>五</w:t>
      </w:r>
      <w:r>
        <w:rPr>
          <w:rFonts w:hint="eastAsia" w:ascii="仿宋_GB2312" w:hAnsi="华文仿宋"/>
          <w:szCs w:val="32"/>
          <w:highlight w:val="none"/>
        </w:rPr>
        <w:t>分之</w:t>
      </w:r>
      <w:r>
        <w:rPr>
          <w:rFonts w:hint="eastAsia" w:ascii="仿宋_GB2312" w:hAnsi="华文仿宋"/>
          <w:szCs w:val="32"/>
          <w:highlight w:val="none"/>
          <w:lang w:eastAsia="zh-CN"/>
        </w:rPr>
        <w:t>三</w:t>
      </w:r>
      <w:r>
        <w:rPr>
          <w:rFonts w:hint="eastAsia" w:ascii="仿宋_GB2312" w:hAnsi="华文仿宋"/>
          <w:szCs w:val="32"/>
          <w:highlight w:val="none"/>
        </w:rPr>
        <w:t>（含），二、三等奖得票数应超过有效票数的半数（含）。如超出授奖限额，则按得票数从高到低选出；如不足以上票数，则自动参与下一奖等评选。投票结果由全体参会人员签字确认。</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奖励办应将终审结果在行业科技奖网站和设奖者网站进行公示，公示期为7</w:t>
      </w:r>
      <w:r>
        <w:rPr>
          <w:rFonts w:hint="eastAsia" w:ascii="仿宋_GB2312" w:hAnsi="华文仿宋"/>
          <w:szCs w:val="32"/>
          <w:lang w:eastAsia="zh-CN"/>
        </w:rPr>
        <w:t>个工作日</w:t>
      </w:r>
      <w:r>
        <w:rPr>
          <w:rFonts w:hint="eastAsia" w:ascii="仿宋_GB2312" w:hAnsi="华文仿宋"/>
          <w:szCs w:val="32"/>
        </w:rPr>
        <w:t>。</w:t>
      </w:r>
    </w:p>
    <w:p>
      <w:pPr>
        <w:numPr>
          <w:ilvl w:val="0"/>
          <w:numId w:val="1"/>
        </w:numPr>
        <w:snapToGrid w:val="0"/>
        <w:spacing w:afterLines="0" w:line="540" w:lineRule="exact"/>
        <w:ind w:firstLine="640" w:firstLineChars="200"/>
        <w:jc w:val="left"/>
        <w:rPr>
          <w:rFonts w:hint="eastAsia" w:ascii="仿宋_GB2312" w:hAnsi="华文仿宋"/>
          <w:szCs w:val="32"/>
        </w:rPr>
      </w:pPr>
      <w:r>
        <w:rPr>
          <w:rFonts w:hint="eastAsia" w:ascii="仿宋_GB2312" w:hAnsi="华文仿宋"/>
          <w:szCs w:val="32"/>
        </w:rPr>
        <w:t>终审结果报证监会备案，经奖励委员会主任委员批准后生效。授奖前须征得授奖对象的同意。</w:t>
      </w:r>
    </w:p>
    <w:p>
      <w:pPr>
        <w:spacing w:afterLines="0" w:line="540" w:lineRule="exact"/>
        <w:ind w:firstLine="640" w:firstLineChars="200"/>
        <w:jc w:val="left"/>
        <w:rPr>
          <w:rFonts w:hint="eastAsia" w:ascii="仿宋_GB2312" w:hAnsi="华文仿宋"/>
          <w:szCs w:val="32"/>
        </w:rPr>
      </w:pPr>
    </w:p>
    <w:p>
      <w:pPr>
        <w:pStyle w:val="3"/>
        <w:numPr>
          <w:ilvl w:val="0"/>
          <w:numId w:val="0"/>
        </w:numPr>
        <w:spacing w:afterLines="0" w:line="540" w:lineRule="exact"/>
        <w:jc w:val="center"/>
        <w:outlineLvl w:val="0"/>
        <w:rPr>
          <w:rFonts w:hint="eastAsia" w:ascii="仿宋_GB2312" w:hAnsi="华文仿宋"/>
          <w:b/>
          <w:sz w:val="32"/>
          <w:szCs w:val="32"/>
          <w:lang w:val="en-US" w:eastAsia="zh-CN"/>
        </w:rPr>
      </w:pPr>
      <w:r>
        <w:rPr>
          <w:rFonts w:hint="eastAsia" w:hAnsi="华文仿宋"/>
          <w:b/>
          <w:sz w:val="32"/>
          <w:szCs w:val="32"/>
          <w:lang w:eastAsia="zh-CN"/>
        </w:rPr>
        <w:t>第</w:t>
      </w:r>
      <w:r>
        <w:rPr>
          <w:rFonts w:hint="eastAsia" w:hAnsi="华文仿宋"/>
          <w:b/>
          <w:sz w:val="32"/>
          <w:szCs w:val="32"/>
        </w:rPr>
        <w:t>十</w:t>
      </w:r>
      <w:r>
        <w:rPr>
          <w:rFonts w:hint="eastAsia" w:hAnsi="华文仿宋"/>
          <w:b/>
          <w:sz w:val="32"/>
          <w:szCs w:val="32"/>
          <w:lang w:eastAsia="zh-CN"/>
        </w:rPr>
        <w:t>章</w:t>
      </w:r>
      <w:r>
        <w:rPr>
          <w:rFonts w:hint="eastAsia" w:hAnsi="华文仿宋"/>
          <w:b/>
          <w:sz w:val="32"/>
          <w:szCs w:val="32"/>
          <w:lang w:val="en-US" w:eastAsia="zh-CN"/>
        </w:rPr>
        <w:t xml:space="preserve"> 授奖及推广</w:t>
      </w:r>
    </w:p>
    <w:p>
      <w:pPr>
        <w:numPr>
          <w:ilvl w:val="0"/>
          <w:numId w:val="1"/>
        </w:numPr>
        <w:snapToGrid w:val="0"/>
        <w:spacing w:afterLines="0" w:line="540" w:lineRule="exact"/>
        <w:ind w:firstLine="640" w:firstLineChars="200"/>
        <w:jc w:val="both"/>
        <w:rPr>
          <w:rFonts w:hint="eastAsia" w:ascii="仿宋_GB2312" w:hAnsi="华文仿宋" w:eastAsia="仿宋_GB2312" w:cs="Times New Roman"/>
          <w:i w:val="0"/>
          <w:iCs w:val="0"/>
          <w:caps w:val="0"/>
          <w:spacing w:val="0"/>
          <w:sz w:val="32"/>
          <w:szCs w:val="32"/>
        </w:rPr>
      </w:pPr>
      <w:r>
        <w:rPr>
          <w:rFonts w:hint="eastAsia" w:ascii="仿宋_GB2312" w:hAnsi="华文仿宋" w:cs="Times New Roman"/>
          <w:b w:val="0"/>
          <w:bCs w:val="0"/>
          <w:i w:val="0"/>
          <w:iCs w:val="0"/>
          <w:caps w:val="0"/>
          <w:spacing w:val="0"/>
          <w:sz w:val="32"/>
          <w:szCs w:val="32"/>
          <w:lang w:val="en-US" w:eastAsia="zh-CN"/>
        </w:rPr>
        <w:t xml:space="preserve"> </w:t>
      </w:r>
      <w:r>
        <w:rPr>
          <w:rFonts w:hint="eastAsia" w:ascii="仿宋_GB2312" w:hAnsi="华文仿宋" w:cs="Times New Roman"/>
          <w:i w:val="0"/>
          <w:iCs w:val="0"/>
          <w:caps w:val="0"/>
          <w:spacing w:val="0"/>
          <w:sz w:val="32"/>
          <w:szCs w:val="32"/>
          <w:lang w:eastAsia="zh-CN"/>
        </w:rPr>
        <w:t>行业</w:t>
      </w:r>
      <w:r>
        <w:rPr>
          <w:rFonts w:hint="eastAsia" w:ascii="仿宋_GB2312" w:hAnsi="华文仿宋" w:eastAsia="仿宋_GB2312" w:cs="Times New Roman"/>
          <w:i w:val="0"/>
          <w:iCs w:val="0"/>
          <w:caps w:val="0"/>
          <w:color w:val="auto"/>
          <w:spacing w:val="0"/>
          <w:sz w:val="32"/>
          <w:szCs w:val="32"/>
        </w:rPr>
        <w:t>科技奖通过颁发获奖证书、奖杯及奖金，并通过有关媒体向社会公布的方式授予。</w:t>
      </w:r>
      <w:r>
        <w:rPr>
          <w:rFonts w:hint="eastAsia" w:ascii="仿宋_GB2312" w:hAnsi="华文仿宋" w:cs="Times New Roman"/>
          <w:i w:val="0"/>
          <w:iCs w:val="0"/>
          <w:caps w:val="0"/>
          <w:spacing w:val="0"/>
          <w:sz w:val="32"/>
          <w:szCs w:val="32"/>
          <w:lang w:eastAsia="zh-CN"/>
        </w:rPr>
        <w:t>行业</w:t>
      </w:r>
      <w:r>
        <w:rPr>
          <w:rFonts w:hint="eastAsia" w:ascii="仿宋_GB2312" w:hAnsi="华文仿宋" w:eastAsia="仿宋_GB2312" w:cs="Times New Roman"/>
          <w:i w:val="0"/>
          <w:iCs w:val="0"/>
          <w:caps w:val="0"/>
          <w:color w:val="auto"/>
          <w:spacing w:val="0"/>
          <w:sz w:val="32"/>
          <w:szCs w:val="32"/>
        </w:rPr>
        <w:t>科技奖的授奖证书，不作为确定科学技术成果权属的直接依据。</w:t>
      </w:r>
    </w:p>
    <w:p>
      <w:pPr>
        <w:numPr>
          <w:ilvl w:val="0"/>
          <w:numId w:val="1"/>
        </w:numPr>
        <w:snapToGrid w:val="0"/>
        <w:spacing w:afterLines="0" w:line="540" w:lineRule="exact"/>
        <w:ind w:firstLine="640" w:firstLineChars="200"/>
        <w:jc w:val="both"/>
        <w:rPr>
          <w:rFonts w:hint="eastAsia" w:ascii="仿宋_GB2312" w:hAnsi="华文仿宋" w:eastAsia="仿宋_GB2312" w:cs="Times New Roman"/>
          <w:i w:val="0"/>
          <w:iCs w:val="0"/>
          <w:caps w:val="0"/>
          <w:spacing w:val="0"/>
          <w:sz w:val="32"/>
          <w:szCs w:val="32"/>
        </w:rPr>
      </w:pPr>
      <w:r>
        <w:rPr>
          <w:rFonts w:hint="eastAsia" w:ascii="仿宋_GB2312" w:hAnsi="华文仿宋" w:cs="Times New Roman"/>
          <w:b w:val="0"/>
          <w:bCs w:val="0"/>
          <w:i w:val="0"/>
          <w:iCs w:val="0"/>
          <w:caps w:val="0"/>
          <w:spacing w:val="0"/>
          <w:sz w:val="32"/>
          <w:szCs w:val="32"/>
          <w:lang w:val="en-US" w:eastAsia="zh-CN"/>
        </w:rPr>
        <w:t>行业</w:t>
      </w:r>
      <w:r>
        <w:rPr>
          <w:rFonts w:hint="eastAsia" w:ascii="仿宋_GB2312" w:hAnsi="华文仿宋" w:eastAsia="仿宋_GB2312" w:cs="Times New Roman"/>
          <w:i w:val="0"/>
          <w:iCs w:val="0"/>
          <w:caps w:val="0"/>
          <w:color w:val="auto"/>
          <w:spacing w:val="0"/>
          <w:sz w:val="32"/>
          <w:szCs w:val="32"/>
        </w:rPr>
        <w:t>科技奖是推荐国家科学技术奖的基础。</w:t>
      </w:r>
      <w:r>
        <w:rPr>
          <w:rFonts w:hint="eastAsia" w:ascii="仿宋_GB2312" w:hAnsi="华文仿宋" w:cs="Times New Roman"/>
          <w:i w:val="0"/>
          <w:iCs w:val="0"/>
          <w:caps w:val="0"/>
          <w:spacing w:val="0"/>
          <w:sz w:val="32"/>
          <w:szCs w:val="32"/>
          <w:highlight w:val="none"/>
          <w:lang w:eastAsia="zh-CN"/>
        </w:rPr>
        <w:t>奖励办</w:t>
      </w:r>
      <w:r>
        <w:rPr>
          <w:rFonts w:hint="eastAsia" w:ascii="仿宋_GB2312" w:hAnsi="华文仿宋" w:eastAsia="仿宋_GB2312" w:cs="Times New Roman"/>
          <w:i w:val="0"/>
          <w:iCs w:val="0"/>
          <w:caps w:val="0"/>
          <w:color w:val="auto"/>
          <w:spacing w:val="0"/>
          <w:sz w:val="32"/>
          <w:szCs w:val="32"/>
          <w:highlight w:val="none"/>
        </w:rPr>
        <w:t>对于获得本奖</w:t>
      </w:r>
      <w:r>
        <w:rPr>
          <w:rFonts w:hint="eastAsia" w:ascii="仿宋_GB2312" w:hAnsi="华文仿宋" w:cs="Times New Roman"/>
          <w:i w:val="0"/>
          <w:iCs w:val="0"/>
          <w:caps w:val="0"/>
          <w:spacing w:val="0"/>
          <w:sz w:val="32"/>
          <w:szCs w:val="32"/>
          <w:highlight w:val="none"/>
          <w:lang w:eastAsia="zh-CN"/>
        </w:rPr>
        <w:t>一等奖的项目</w:t>
      </w:r>
      <w:r>
        <w:rPr>
          <w:rFonts w:hint="eastAsia" w:ascii="仿宋_GB2312" w:hAnsi="华文仿宋" w:eastAsia="仿宋_GB2312" w:cs="Times New Roman"/>
          <w:i w:val="0"/>
          <w:iCs w:val="0"/>
          <w:caps w:val="0"/>
          <w:color w:val="auto"/>
          <w:spacing w:val="0"/>
          <w:sz w:val="32"/>
          <w:szCs w:val="32"/>
          <w:highlight w:val="none"/>
        </w:rPr>
        <w:t>，将</w:t>
      </w:r>
      <w:r>
        <w:rPr>
          <w:rFonts w:hint="eastAsia" w:ascii="仿宋_GB2312" w:hAnsi="华文仿宋" w:cs="Times New Roman"/>
          <w:i w:val="0"/>
          <w:iCs w:val="0"/>
          <w:caps w:val="0"/>
          <w:color w:val="auto"/>
          <w:spacing w:val="0"/>
          <w:sz w:val="32"/>
          <w:szCs w:val="32"/>
          <w:highlight w:val="none"/>
          <w:lang w:eastAsia="zh-CN"/>
        </w:rPr>
        <w:t>择优</w:t>
      </w:r>
      <w:r>
        <w:rPr>
          <w:rFonts w:hint="eastAsia" w:ascii="仿宋_GB2312" w:hAnsi="华文仿宋" w:eastAsia="仿宋_GB2312" w:cs="Times New Roman"/>
          <w:i w:val="0"/>
          <w:iCs w:val="0"/>
          <w:caps w:val="0"/>
          <w:color w:val="auto"/>
          <w:spacing w:val="0"/>
          <w:sz w:val="32"/>
          <w:szCs w:val="32"/>
          <w:highlight w:val="none"/>
        </w:rPr>
        <w:t>推荐给国家有关主管部门申报</w:t>
      </w:r>
      <w:r>
        <w:rPr>
          <w:rFonts w:hint="eastAsia" w:ascii="仿宋_GB2312" w:hAnsi="华文仿宋" w:cs="Times New Roman"/>
          <w:i w:val="0"/>
          <w:iCs w:val="0"/>
          <w:caps w:val="0"/>
          <w:spacing w:val="0"/>
          <w:sz w:val="32"/>
          <w:szCs w:val="32"/>
          <w:highlight w:val="none"/>
          <w:lang w:eastAsia="zh-CN"/>
        </w:rPr>
        <w:t>国家</w:t>
      </w:r>
      <w:r>
        <w:rPr>
          <w:rFonts w:hint="eastAsia" w:ascii="仿宋_GB2312" w:hAnsi="华文仿宋" w:eastAsia="仿宋_GB2312" w:cs="Times New Roman"/>
          <w:i w:val="0"/>
          <w:iCs w:val="0"/>
          <w:caps w:val="0"/>
          <w:color w:val="auto"/>
          <w:spacing w:val="0"/>
          <w:sz w:val="32"/>
          <w:szCs w:val="32"/>
          <w:highlight w:val="none"/>
        </w:rPr>
        <w:t>科学技术奖。</w:t>
      </w:r>
      <w:r>
        <w:rPr>
          <w:rFonts w:hint="eastAsia" w:ascii="仿宋_GB2312" w:hAnsi="华文仿宋" w:cs="Times New Roman"/>
          <w:i w:val="0"/>
          <w:iCs w:val="0"/>
          <w:caps w:val="0"/>
          <w:spacing w:val="0"/>
          <w:sz w:val="32"/>
          <w:szCs w:val="32"/>
          <w:lang w:eastAsia="zh-CN"/>
        </w:rPr>
        <w:t>获奖项目机构应对获奖人员</w:t>
      </w:r>
      <w:r>
        <w:rPr>
          <w:rFonts w:hint="eastAsia" w:ascii="仿宋_GB2312" w:hAnsi="华文仿宋" w:eastAsia="仿宋_GB2312" w:cs="Times New Roman"/>
          <w:i w:val="0"/>
          <w:iCs w:val="0"/>
          <w:caps w:val="0"/>
          <w:color w:val="auto"/>
          <w:spacing w:val="0"/>
          <w:sz w:val="32"/>
          <w:szCs w:val="32"/>
        </w:rPr>
        <w:t>予以</w:t>
      </w:r>
      <w:r>
        <w:rPr>
          <w:rFonts w:hint="eastAsia" w:ascii="仿宋_GB2312" w:hAnsi="华文仿宋" w:cs="Times New Roman"/>
          <w:i w:val="0"/>
          <w:iCs w:val="0"/>
          <w:caps w:val="0"/>
          <w:color w:val="auto"/>
          <w:spacing w:val="0"/>
          <w:sz w:val="32"/>
          <w:szCs w:val="32"/>
          <w:lang w:eastAsia="zh-CN"/>
        </w:rPr>
        <w:t>专项</w:t>
      </w:r>
      <w:r>
        <w:rPr>
          <w:rFonts w:hint="eastAsia" w:ascii="仿宋_GB2312" w:hAnsi="华文仿宋" w:eastAsia="仿宋_GB2312" w:cs="Times New Roman"/>
          <w:i w:val="0"/>
          <w:iCs w:val="0"/>
          <w:caps w:val="0"/>
          <w:color w:val="auto"/>
          <w:spacing w:val="0"/>
          <w:sz w:val="32"/>
          <w:szCs w:val="32"/>
        </w:rPr>
        <w:t>表彰</w:t>
      </w:r>
      <w:r>
        <w:rPr>
          <w:rFonts w:hint="eastAsia" w:ascii="仿宋_GB2312" w:hAnsi="华文仿宋" w:cs="Times New Roman"/>
          <w:i w:val="0"/>
          <w:iCs w:val="0"/>
          <w:caps w:val="0"/>
          <w:spacing w:val="0"/>
          <w:sz w:val="32"/>
          <w:szCs w:val="32"/>
          <w:lang w:eastAsia="zh-CN"/>
        </w:rPr>
        <w:t>，给予一定的物质奖励，激励从业人员积极开展科技创新工作。</w:t>
      </w:r>
    </w:p>
    <w:p>
      <w:pPr>
        <w:numPr>
          <w:ilvl w:val="0"/>
          <w:numId w:val="1"/>
        </w:numPr>
        <w:snapToGrid w:val="0"/>
        <w:spacing w:afterLines="0" w:line="540" w:lineRule="exact"/>
        <w:ind w:firstLine="640" w:firstLineChars="200"/>
        <w:jc w:val="both"/>
        <w:rPr>
          <w:rFonts w:hint="eastAsia" w:ascii="仿宋_GB2312" w:hAnsi="华文仿宋" w:eastAsia="仿宋_GB2312" w:cs="Times New Roman"/>
          <w:i w:val="0"/>
          <w:iCs w:val="0"/>
          <w:caps w:val="0"/>
          <w:spacing w:val="0"/>
          <w:sz w:val="32"/>
          <w:szCs w:val="32"/>
        </w:rPr>
      </w:pPr>
      <w:r>
        <w:rPr>
          <w:rFonts w:hint="eastAsia" w:ascii="仿宋_GB2312" w:hAnsi="华文仿宋"/>
          <w:szCs w:val="32"/>
          <w:lang w:val="en-US" w:eastAsia="zh-CN"/>
        </w:rPr>
        <w:t>奖励办组织获奖机构编撰当届获奖项目汇编，面向行业机构定向发布，促进获奖项目在证券基金期货行业内的交流分享。</w:t>
      </w:r>
    </w:p>
    <w:p>
      <w:pPr>
        <w:numPr>
          <w:ilvl w:val="0"/>
          <w:numId w:val="1"/>
        </w:numPr>
        <w:snapToGrid w:val="0"/>
        <w:spacing w:afterLines="0" w:line="540" w:lineRule="exact"/>
        <w:ind w:firstLine="640" w:firstLineChars="200"/>
        <w:rPr>
          <w:rFonts w:hint="eastAsia" w:ascii="仿宋_GB2312" w:hAnsi="华文仿宋" w:eastAsia="仿宋_GB2312"/>
          <w:szCs w:val="32"/>
          <w:lang w:eastAsia="zh-CN"/>
        </w:rPr>
      </w:pPr>
      <w:r>
        <w:rPr>
          <w:rFonts w:hint="eastAsia" w:ascii="仿宋_GB2312" w:hAnsi="华文仿宋" w:eastAsia="仿宋_GB2312" w:cs="Times New Roman"/>
          <w:i w:val="0"/>
          <w:iCs w:val="0"/>
          <w:caps w:val="0"/>
          <w:color w:val="auto"/>
          <w:spacing w:val="0"/>
          <w:kern w:val="2"/>
          <w:sz w:val="32"/>
          <w:szCs w:val="32"/>
          <w:shd w:val="clear" w:fill="auto"/>
          <w:lang w:val="en-US" w:eastAsia="zh-CN" w:bidi="ar"/>
        </w:rPr>
        <w:t>在不损害国家安全、国家利益和重大社会公共利益的前提下，</w:t>
      </w:r>
      <w:r>
        <w:rPr>
          <w:rFonts w:hint="eastAsia" w:ascii="仿宋_GB2312" w:hAnsi="华文仿宋"/>
          <w:szCs w:val="32"/>
          <w:lang w:eastAsia="zh-CN"/>
        </w:rPr>
        <w:t>奖励办鼓励获奖机构按照市场化原则，对获奖项目进行应用推广与转让。</w:t>
      </w:r>
    </w:p>
    <w:p>
      <w:pPr>
        <w:numPr>
          <w:ilvl w:val="0"/>
          <w:numId w:val="1"/>
        </w:numPr>
        <w:snapToGrid w:val="0"/>
        <w:spacing w:afterLines="0" w:line="540" w:lineRule="exact"/>
        <w:ind w:firstLine="640" w:firstLineChars="200"/>
        <w:rPr>
          <w:rFonts w:hint="eastAsia" w:ascii="仿宋_GB2312" w:hAnsi="华文仿宋" w:eastAsia="仿宋_GB2312"/>
          <w:szCs w:val="32"/>
          <w:highlight w:val="none"/>
          <w:lang w:eastAsia="zh-CN"/>
        </w:rPr>
      </w:pPr>
      <w:r>
        <w:rPr>
          <w:rFonts w:hint="eastAsia" w:ascii="仿宋_GB2312" w:hAnsi="华文仿宋" w:cs="Times New Roman"/>
          <w:i w:val="0"/>
          <w:iCs w:val="0"/>
          <w:caps w:val="0"/>
          <w:spacing w:val="0"/>
          <w:kern w:val="2"/>
          <w:sz w:val="32"/>
          <w:szCs w:val="32"/>
          <w:highlight w:val="none"/>
          <w:shd w:val="clear"/>
          <w:lang w:val="en-US" w:eastAsia="zh-CN" w:bidi="ar"/>
        </w:rPr>
        <w:t>奖励办结合</w:t>
      </w:r>
      <w:r>
        <w:rPr>
          <w:rFonts w:hint="eastAsia" w:ascii="仿宋_GB2312" w:hAnsi="华文仿宋"/>
          <w:szCs w:val="32"/>
          <w:highlight w:val="none"/>
          <w:lang w:eastAsia="zh-CN"/>
        </w:rPr>
        <w:t>《科学技术进步法》相关要求，每年</w:t>
      </w:r>
      <w:r>
        <w:rPr>
          <w:rFonts w:hint="eastAsia" w:ascii="仿宋_GB2312" w:hAnsi="华文仿宋" w:cs="Times New Roman"/>
          <w:i w:val="0"/>
          <w:iCs w:val="0"/>
          <w:caps w:val="0"/>
          <w:spacing w:val="0"/>
          <w:kern w:val="2"/>
          <w:sz w:val="32"/>
          <w:szCs w:val="32"/>
          <w:highlight w:val="none"/>
          <w:shd w:val="clear"/>
          <w:lang w:val="en-US" w:eastAsia="zh-CN" w:bidi="ar"/>
        </w:rPr>
        <w:t>负责组织</w:t>
      </w:r>
      <w:r>
        <w:rPr>
          <w:rFonts w:hint="eastAsia" w:ascii="仿宋_GB2312" w:hAnsi="华文仿宋" w:eastAsia="仿宋_GB2312" w:cs="Times New Roman"/>
          <w:i w:val="0"/>
          <w:iCs w:val="0"/>
          <w:caps w:val="0"/>
          <w:color w:val="auto"/>
          <w:spacing w:val="0"/>
          <w:kern w:val="2"/>
          <w:sz w:val="32"/>
          <w:szCs w:val="32"/>
          <w:highlight w:val="none"/>
          <w:shd w:val="clear" w:fill="auto"/>
          <w:lang w:val="en-US" w:eastAsia="zh-CN" w:bidi="ar"/>
        </w:rPr>
        <w:t>对行业科技奖</w:t>
      </w:r>
      <w:r>
        <w:rPr>
          <w:rFonts w:hint="eastAsia" w:ascii="仿宋_GB2312" w:hAnsi="华文仿宋" w:cs="Times New Roman"/>
          <w:i w:val="0"/>
          <w:iCs w:val="0"/>
          <w:caps w:val="0"/>
          <w:color w:val="auto"/>
          <w:spacing w:val="0"/>
          <w:kern w:val="2"/>
          <w:sz w:val="32"/>
          <w:szCs w:val="32"/>
          <w:highlight w:val="none"/>
          <w:shd w:val="clear" w:fill="auto"/>
          <w:lang w:val="en-US" w:eastAsia="zh-CN" w:bidi="ar"/>
        </w:rPr>
        <w:t>开展</w:t>
      </w:r>
      <w:r>
        <w:rPr>
          <w:rFonts w:hint="eastAsia" w:ascii="仿宋_GB2312" w:hAnsi="华文仿宋" w:eastAsia="仿宋_GB2312" w:cs="Times New Roman"/>
          <w:i w:val="0"/>
          <w:iCs w:val="0"/>
          <w:caps w:val="0"/>
          <w:color w:val="auto"/>
          <w:spacing w:val="0"/>
          <w:kern w:val="2"/>
          <w:sz w:val="32"/>
          <w:szCs w:val="32"/>
          <w:highlight w:val="none"/>
          <w:shd w:val="clear" w:fill="auto"/>
          <w:lang w:val="en-US" w:eastAsia="zh-CN" w:bidi="ar"/>
        </w:rPr>
        <w:t>宣传</w:t>
      </w:r>
      <w:r>
        <w:rPr>
          <w:rFonts w:hint="eastAsia" w:ascii="仿宋_GB2312" w:hAnsi="华文仿宋" w:cs="Times New Roman"/>
          <w:i w:val="0"/>
          <w:iCs w:val="0"/>
          <w:caps w:val="0"/>
          <w:spacing w:val="0"/>
          <w:kern w:val="2"/>
          <w:sz w:val="32"/>
          <w:szCs w:val="32"/>
          <w:highlight w:val="none"/>
          <w:shd w:val="clear"/>
          <w:lang w:val="en-US" w:eastAsia="zh-CN" w:bidi="ar"/>
        </w:rPr>
        <w:t>普及活动</w:t>
      </w:r>
      <w:r>
        <w:rPr>
          <w:rFonts w:hint="eastAsia" w:ascii="仿宋_GB2312" w:hAnsi="华文仿宋" w:eastAsia="仿宋_GB2312" w:cs="Times New Roman"/>
          <w:i w:val="0"/>
          <w:iCs w:val="0"/>
          <w:caps w:val="0"/>
          <w:color w:val="auto"/>
          <w:spacing w:val="0"/>
          <w:kern w:val="2"/>
          <w:sz w:val="32"/>
          <w:szCs w:val="32"/>
          <w:highlight w:val="none"/>
          <w:shd w:val="clear" w:fill="auto"/>
          <w:lang w:val="en-US" w:eastAsia="zh-CN" w:bidi="ar"/>
        </w:rPr>
        <w:t>。</w:t>
      </w:r>
    </w:p>
    <w:bookmarkEnd w:id="0"/>
    <w:bookmarkEnd w:id="1"/>
    <w:p>
      <w:pPr>
        <w:pStyle w:val="3"/>
        <w:spacing w:afterLines="0" w:line="540" w:lineRule="exact"/>
        <w:ind w:firstLine="0"/>
        <w:jc w:val="center"/>
        <w:rPr>
          <w:rFonts w:hAnsi="华文仿宋"/>
          <w:sz w:val="32"/>
          <w:szCs w:val="32"/>
        </w:rPr>
      </w:pPr>
    </w:p>
    <w:p>
      <w:pPr>
        <w:pStyle w:val="3"/>
        <w:spacing w:afterLines="0" w:line="540" w:lineRule="exact"/>
        <w:ind w:firstLine="0"/>
        <w:jc w:val="center"/>
        <w:outlineLvl w:val="0"/>
        <w:rPr>
          <w:rFonts w:hAnsi="华文仿宋"/>
          <w:b/>
          <w:sz w:val="32"/>
          <w:szCs w:val="32"/>
        </w:rPr>
      </w:pPr>
      <w:r>
        <w:rPr>
          <w:rFonts w:hint="eastAsia" w:hAnsi="华文仿宋"/>
          <w:b/>
          <w:sz w:val="32"/>
          <w:szCs w:val="32"/>
        </w:rPr>
        <w:t>第十</w:t>
      </w:r>
      <w:r>
        <w:rPr>
          <w:rFonts w:hint="eastAsia" w:hAnsi="华文仿宋"/>
          <w:b/>
          <w:sz w:val="32"/>
          <w:szCs w:val="32"/>
          <w:lang w:eastAsia="zh-CN"/>
        </w:rPr>
        <w:t>一</w:t>
      </w:r>
      <w:r>
        <w:rPr>
          <w:rFonts w:hint="eastAsia" w:hAnsi="华文仿宋"/>
          <w:b/>
          <w:sz w:val="32"/>
          <w:szCs w:val="32"/>
        </w:rPr>
        <w:t>章 财务管理</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行业科技奖经费由设奖者和交易所等市场核心机构等相关单位捐赠产生，由奖励办组织捐赠工作，</w:t>
      </w:r>
      <w:r>
        <w:rPr>
          <w:rFonts w:ascii="仿宋_GB2312" w:hAnsi="华文仿宋"/>
          <w:szCs w:val="32"/>
        </w:rPr>
        <w:t>捐赠额度由当届行业科技奖工作方案确定。当届</w:t>
      </w:r>
      <w:r>
        <w:rPr>
          <w:rFonts w:hint="eastAsia" w:ascii="仿宋_GB2312" w:hAnsi="华文仿宋"/>
          <w:szCs w:val="32"/>
        </w:rPr>
        <w:t>科技奖励</w:t>
      </w:r>
      <w:r>
        <w:rPr>
          <w:rFonts w:ascii="仿宋_GB2312" w:hAnsi="华文仿宋"/>
          <w:szCs w:val="32"/>
        </w:rPr>
        <w:t>主办单位作为经费代管单位，应与捐赠单位签订捐赠协议</w:t>
      </w:r>
      <w:r>
        <w:rPr>
          <w:rFonts w:hint="eastAsia" w:ascii="仿宋_GB2312" w:hAnsi="华文仿宋"/>
          <w:szCs w:val="32"/>
        </w:rPr>
        <w:t>。</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行业科技奖经费应专款专用，使用范围为行业科技奖励活动，不得挪作他用。</w:t>
      </w:r>
    </w:p>
    <w:p>
      <w:pPr>
        <w:spacing w:afterLines="0" w:line="540" w:lineRule="exact"/>
        <w:ind w:firstLine="640" w:firstLineChars="200"/>
        <w:jc w:val="both"/>
        <w:rPr>
          <w:rFonts w:ascii="仿宋_GB2312" w:hAnsi="华文仿宋"/>
          <w:szCs w:val="32"/>
        </w:rPr>
      </w:pPr>
      <w:r>
        <w:rPr>
          <w:rFonts w:hint="eastAsia" w:ascii="仿宋_GB2312" w:hAnsi="华文仿宋"/>
          <w:szCs w:val="32"/>
        </w:rPr>
        <w:t>具体使用范围为：</w:t>
      </w:r>
    </w:p>
    <w:p>
      <w:pPr>
        <w:spacing w:afterLines="0" w:line="540" w:lineRule="exact"/>
        <w:ind w:firstLine="640" w:firstLineChars="200"/>
        <w:jc w:val="both"/>
        <w:rPr>
          <w:rFonts w:ascii="仿宋_GB2312" w:hAnsi="华文仿宋"/>
          <w:szCs w:val="32"/>
        </w:rPr>
      </w:pPr>
      <w:r>
        <w:rPr>
          <w:rFonts w:hint="eastAsia" w:ascii="仿宋_GB2312" w:hAnsi="华文仿宋"/>
          <w:szCs w:val="32"/>
        </w:rPr>
        <w:t>（一）获奖项目的奖金；</w:t>
      </w:r>
    </w:p>
    <w:p>
      <w:pPr>
        <w:spacing w:afterLines="0" w:line="540" w:lineRule="exact"/>
        <w:ind w:firstLine="640" w:firstLineChars="200"/>
        <w:jc w:val="both"/>
        <w:rPr>
          <w:rFonts w:ascii="仿宋_GB2312" w:hAnsi="华文仿宋"/>
          <w:szCs w:val="32"/>
        </w:rPr>
      </w:pPr>
      <w:r>
        <w:rPr>
          <w:rFonts w:hint="eastAsia" w:ascii="仿宋_GB2312" w:hAnsi="华文仿宋"/>
          <w:szCs w:val="32"/>
        </w:rPr>
        <w:t>（二）专家评审费、人员劳务费；</w:t>
      </w:r>
    </w:p>
    <w:p>
      <w:pPr>
        <w:spacing w:afterLines="0" w:line="540" w:lineRule="exact"/>
        <w:ind w:firstLine="640" w:firstLineChars="200"/>
        <w:jc w:val="both"/>
        <w:rPr>
          <w:rFonts w:ascii="仿宋_GB2312" w:hAnsi="华文仿宋"/>
          <w:szCs w:val="32"/>
        </w:rPr>
      </w:pPr>
      <w:r>
        <w:rPr>
          <w:rFonts w:hint="eastAsia" w:ascii="仿宋_GB2312" w:hAnsi="华文仿宋"/>
          <w:szCs w:val="32"/>
        </w:rPr>
        <w:t>（三）组织初审、复审、终审工作等费用；</w:t>
      </w:r>
    </w:p>
    <w:p>
      <w:pPr>
        <w:spacing w:afterLines="0" w:line="540" w:lineRule="exact"/>
        <w:ind w:firstLine="640" w:firstLineChars="200"/>
        <w:jc w:val="both"/>
        <w:rPr>
          <w:rFonts w:ascii="仿宋_GB2312" w:hAnsi="华文仿宋"/>
          <w:szCs w:val="32"/>
        </w:rPr>
      </w:pPr>
      <w:r>
        <w:rPr>
          <w:rFonts w:hint="eastAsia" w:ascii="仿宋_GB2312" w:hAnsi="华文仿宋"/>
          <w:szCs w:val="32"/>
        </w:rPr>
        <w:t>（四）表彰、奖励大会会议经费及奖杯、奖牌、证书制作费用；</w:t>
      </w:r>
    </w:p>
    <w:p>
      <w:pPr>
        <w:spacing w:afterLines="0" w:line="540" w:lineRule="exact"/>
        <w:ind w:firstLine="640" w:firstLineChars="200"/>
        <w:jc w:val="both"/>
        <w:rPr>
          <w:rFonts w:ascii="仿宋_GB2312" w:hAnsi="华文仿宋"/>
          <w:szCs w:val="32"/>
        </w:rPr>
      </w:pPr>
      <w:r>
        <w:rPr>
          <w:rFonts w:hint="eastAsia" w:ascii="仿宋_GB2312" w:hAnsi="华文仿宋"/>
          <w:szCs w:val="32"/>
        </w:rPr>
        <w:t>（五）建设和维护评审系统及行业科技奖网站的费用；</w:t>
      </w:r>
    </w:p>
    <w:p>
      <w:pPr>
        <w:spacing w:afterLines="0" w:line="540" w:lineRule="exact"/>
        <w:ind w:firstLine="640" w:firstLineChars="200"/>
        <w:jc w:val="both"/>
        <w:rPr>
          <w:rFonts w:ascii="仿宋_GB2312" w:hAnsi="华文仿宋"/>
          <w:szCs w:val="32"/>
        </w:rPr>
      </w:pPr>
      <w:r>
        <w:rPr>
          <w:rFonts w:hint="eastAsia" w:ascii="仿宋_GB2312" w:hAnsi="华文仿宋"/>
          <w:szCs w:val="32"/>
        </w:rPr>
        <w:t>（六）其他有关行业科技奖的工作事项。</w:t>
      </w:r>
    </w:p>
    <w:p>
      <w:pPr>
        <w:spacing w:afterLines="0" w:line="540" w:lineRule="exact"/>
        <w:ind w:firstLine="640" w:firstLineChars="200"/>
        <w:jc w:val="both"/>
        <w:rPr>
          <w:rFonts w:ascii="仿宋_GB2312" w:hAnsi="华文仿宋"/>
          <w:szCs w:val="32"/>
        </w:rPr>
      </w:pPr>
      <w:r>
        <w:rPr>
          <w:rFonts w:hint="eastAsia" w:ascii="仿宋_GB2312" w:hAnsi="华文仿宋"/>
          <w:szCs w:val="32"/>
        </w:rPr>
        <w:t>用于获奖项目奖金不少于行业科技奖专项经费总额的60%，获奖项目奖金授予获奖项目的主要完成人员。</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行业科技奖经费使用由奖励委员会常务副主任委员负责审批。</w:t>
      </w:r>
    </w:p>
    <w:p>
      <w:pPr>
        <w:spacing w:afterLines="0" w:line="540" w:lineRule="exact"/>
        <w:ind w:firstLine="640" w:firstLineChars="200"/>
        <w:jc w:val="both"/>
        <w:rPr>
          <w:rFonts w:hint="eastAsia" w:ascii="仿宋_GB2312" w:hAnsi="华文仿宋"/>
          <w:szCs w:val="32"/>
        </w:rPr>
      </w:pPr>
      <w:r>
        <w:rPr>
          <w:rFonts w:hint="eastAsia" w:ascii="仿宋_GB2312" w:hAnsi="华文仿宋"/>
          <w:szCs w:val="32"/>
        </w:rPr>
        <w:t>奖励办应制定工作预算，按财务管理办法进行财务核准并实施。奖励工作完成后应进行决算。</w:t>
      </w:r>
    </w:p>
    <w:p>
      <w:pPr>
        <w:spacing w:afterLines="0" w:line="540" w:lineRule="exact"/>
        <w:ind w:firstLine="640" w:firstLineChars="200"/>
        <w:jc w:val="both"/>
        <w:rPr>
          <w:rFonts w:ascii="仿宋_GB2312" w:hAnsi="华文仿宋"/>
          <w:szCs w:val="32"/>
        </w:rPr>
      </w:pPr>
      <w:r>
        <w:rPr>
          <w:rFonts w:hint="eastAsia" w:ascii="仿宋_GB2312" w:hAnsi="华文仿宋"/>
          <w:szCs w:val="32"/>
        </w:rPr>
        <w:t>行业科技奖经费应遵守国家有关财务管理规定和专项经费的管理要求。经费</w:t>
      </w:r>
      <w:r>
        <w:rPr>
          <w:rFonts w:ascii="仿宋_GB2312" w:hAnsi="华文仿宋"/>
          <w:szCs w:val="32"/>
        </w:rPr>
        <w:t>代管单位</w:t>
      </w:r>
      <w:r>
        <w:rPr>
          <w:rFonts w:hint="eastAsia" w:ascii="仿宋_GB2312" w:hAnsi="华文仿宋"/>
          <w:szCs w:val="32"/>
        </w:rPr>
        <w:t>应为行业科技奖经费建专门账册，编制单独核算表，并按期做好经费的审结工作。所有收支活动的履行必须做到齐备、有案、完整、准确。</w:t>
      </w:r>
    </w:p>
    <w:p>
      <w:pPr>
        <w:spacing w:afterLines="0" w:line="540" w:lineRule="exact"/>
        <w:ind w:firstLine="640" w:firstLineChars="200"/>
        <w:jc w:val="both"/>
        <w:rPr>
          <w:rFonts w:ascii="仿宋_GB2312" w:hAnsi="华文仿宋"/>
          <w:szCs w:val="32"/>
        </w:rPr>
      </w:pPr>
      <w:r>
        <w:rPr>
          <w:rFonts w:hint="eastAsia" w:ascii="仿宋_GB2312" w:hAnsi="华文仿宋"/>
          <w:szCs w:val="32"/>
        </w:rPr>
        <w:t>行业科技奖经费停止捐赠或撤消，须清理账务，剩余经费按比例退还捐赠单位，并向捐赠单位通报清理结果。</w:t>
      </w:r>
    </w:p>
    <w:p>
      <w:pPr>
        <w:spacing w:afterLines="0" w:line="540" w:lineRule="exact"/>
        <w:ind w:firstLine="640" w:firstLineChars="200"/>
        <w:jc w:val="both"/>
        <w:rPr>
          <w:rFonts w:hint="eastAsia" w:ascii="仿宋_GB2312" w:hAnsi="华文仿宋"/>
          <w:szCs w:val="32"/>
        </w:rPr>
      </w:pPr>
      <w:r>
        <w:rPr>
          <w:rFonts w:hint="eastAsia" w:ascii="仿宋_GB2312" w:hAnsi="华文仿宋"/>
          <w:szCs w:val="32"/>
        </w:rPr>
        <w:t>奖励工作</w:t>
      </w:r>
      <w:r>
        <w:rPr>
          <w:rFonts w:ascii="仿宋_GB2312" w:hAnsi="华文仿宋"/>
          <w:szCs w:val="32"/>
        </w:rPr>
        <w:t>完成财务决算后，如有结余，则剩余经费结转纳入到下届行业科技奖励经费，并向捐赠单位通报决算结果。</w:t>
      </w:r>
    </w:p>
    <w:p>
      <w:pPr>
        <w:spacing w:afterLines="0" w:line="540" w:lineRule="exact"/>
        <w:ind w:firstLine="640" w:firstLineChars="200"/>
        <w:jc w:val="both"/>
        <w:rPr>
          <w:rFonts w:ascii="仿宋_GB2312" w:hAnsi="华文仿宋"/>
          <w:szCs w:val="32"/>
        </w:rPr>
      </w:pPr>
      <w:r>
        <w:rPr>
          <w:rFonts w:hint="eastAsia" w:ascii="仿宋_GB2312" w:hAnsi="华文仿宋"/>
          <w:szCs w:val="32"/>
        </w:rPr>
        <w:t>行业科技奖经费的会计凭证，会计账目，会计报表和其他会计资料，按照《中华人民共和国会计法》有关规定建档，并按照财政部、国家档案局颁布的会计档案管理办法的具体规定执行和妥善保管。</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行业科技奖经费接受税务、会计主管部门和上级主管单位的监督和检查。奖励委员会应对行业科技奖经费的使用和管理进行监督。</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行业科技奖经费捐赠单位有权查询捐赠经费使用、管理情况，并提出意见和建议。对于捐赠人的查询，主办单位应及时如实答复。</w:t>
      </w:r>
    </w:p>
    <w:p>
      <w:pPr>
        <w:spacing w:afterLines="0" w:line="540" w:lineRule="exact"/>
        <w:ind w:firstLine="640" w:firstLineChars="200"/>
        <w:jc w:val="left"/>
        <w:rPr>
          <w:rFonts w:ascii="仿宋_GB2312" w:hAnsi="华文仿宋"/>
          <w:szCs w:val="32"/>
        </w:rPr>
      </w:pPr>
    </w:p>
    <w:p>
      <w:pPr>
        <w:pStyle w:val="3"/>
        <w:spacing w:afterLines="0" w:line="540" w:lineRule="exact"/>
        <w:ind w:firstLine="0"/>
        <w:jc w:val="center"/>
        <w:outlineLvl w:val="0"/>
        <w:rPr>
          <w:rFonts w:hAnsi="华文仿宋"/>
          <w:b/>
          <w:sz w:val="32"/>
          <w:szCs w:val="32"/>
        </w:rPr>
      </w:pPr>
      <w:r>
        <w:rPr>
          <w:rFonts w:hint="eastAsia" w:hAnsi="华文仿宋"/>
          <w:b/>
          <w:sz w:val="32"/>
          <w:szCs w:val="32"/>
        </w:rPr>
        <w:t>第十</w:t>
      </w:r>
      <w:r>
        <w:rPr>
          <w:rFonts w:hint="eastAsia" w:hAnsi="华文仿宋"/>
          <w:b/>
          <w:sz w:val="32"/>
          <w:szCs w:val="32"/>
          <w:lang w:eastAsia="zh-CN"/>
        </w:rPr>
        <w:t>二</w:t>
      </w:r>
      <w:r>
        <w:rPr>
          <w:rFonts w:hint="eastAsia" w:hAnsi="华文仿宋"/>
          <w:b/>
          <w:sz w:val="32"/>
          <w:szCs w:val="32"/>
        </w:rPr>
        <w:t>章 监督管理</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奖励委员会对奖励工作全过程进行监督。</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建立评价责任和信誉制度，明确获奖单位、获奖人员、评审专家、组织者等各奖励活动主体应遵守的评审纪律。</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当届奖励工作结束后，奖励办应聘请行业外专业审计机构对本届行业科技奖工作进行专项审计，出具审计报告。</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奖励工作结束后，奖励办应向国家科学技术奖励工作办公室报送工作报告，接受监督检查。</w:t>
      </w:r>
    </w:p>
    <w:p>
      <w:pPr>
        <w:pStyle w:val="3"/>
        <w:spacing w:afterLines="0" w:line="540" w:lineRule="exact"/>
        <w:ind w:firstLine="0"/>
        <w:jc w:val="center"/>
        <w:rPr>
          <w:rFonts w:hAnsi="华文仿宋"/>
          <w:sz w:val="32"/>
          <w:szCs w:val="32"/>
        </w:rPr>
      </w:pPr>
    </w:p>
    <w:p>
      <w:pPr>
        <w:pStyle w:val="3"/>
        <w:spacing w:afterLines="0" w:line="540" w:lineRule="exact"/>
        <w:ind w:firstLine="0"/>
        <w:jc w:val="center"/>
        <w:outlineLvl w:val="0"/>
        <w:rPr>
          <w:rFonts w:hAnsi="华文仿宋"/>
          <w:b/>
          <w:sz w:val="32"/>
          <w:szCs w:val="32"/>
        </w:rPr>
      </w:pPr>
      <w:r>
        <w:rPr>
          <w:rFonts w:hint="eastAsia" w:hAnsi="华文仿宋"/>
          <w:b/>
          <w:sz w:val="32"/>
          <w:szCs w:val="32"/>
        </w:rPr>
        <w:t>第十</w:t>
      </w:r>
      <w:r>
        <w:rPr>
          <w:rFonts w:hint="eastAsia" w:hAnsi="华文仿宋"/>
          <w:b/>
          <w:sz w:val="32"/>
          <w:szCs w:val="32"/>
          <w:lang w:eastAsia="zh-CN"/>
        </w:rPr>
        <w:t>三</w:t>
      </w:r>
      <w:r>
        <w:rPr>
          <w:rFonts w:hint="eastAsia" w:hAnsi="华文仿宋"/>
          <w:b/>
          <w:sz w:val="32"/>
          <w:szCs w:val="32"/>
        </w:rPr>
        <w:t>章 异议处理</w:t>
      </w:r>
    </w:p>
    <w:p>
      <w:pPr>
        <w:numPr>
          <w:ilvl w:val="0"/>
          <w:numId w:val="1"/>
        </w:numPr>
        <w:spacing w:afterLines="0" w:line="540" w:lineRule="exact"/>
        <w:ind w:firstLine="640" w:firstLineChars="200"/>
        <w:jc w:val="left"/>
        <w:rPr>
          <w:rFonts w:hint="eastAsia" w:ascii="仿宋_GB2312" w:hAnsi="华文仿宋"/>
          <w:sz w:val="32"/>
          <w:szCs w:val="32"/>
        </w:rPr>
      </w:pPr>
      <w:r>
        <w:rPr>
          <w:rFonts w:hint="eastAsia" w:ascii="仿宋_GB2312" w:hAnsi="华文仿宋"/>
          <w:sz w:val="32"/>
          <w:szCs w:val="32"/>
        </w:rPr>
        <w:t>任何单位或个人对公示的项目持有异议，应在规定的异议期内以书面、实名形式向奖励办提出异议内容，并提供必要的证明文件。</w:t>
      </w:r>
    </w:p>
    <w:p>
      <w:pPr>
        <w:numPr>
          <w:ilvl w:val="0"/>
          <w:numId w:val="1"/>
        </w:numPr>
        <w:spacing w:afterLines="0" w:line="540" w:lineRule="exact"/>
        <w:ind w:firstLine="640" w:firstLineChars="200"/>
        <w:jc w:val="left"/>
        <w:rPr>
          <w:rFonts w:hint="eastAsia" w:ascii="仿宋_GB2312" w:hAnsi="华文仿宋"/>
          <w:sz w:val="32"/>
          <w:szCs w:val="32"/>
        </w:rPr>
      </w:pPr>
      <w:r>
        <w:rPr>
          <w:rFonts w:hint="eastAsia" w:ascii="仿宋_GB2312" w:hAnsi="华文仿宋"/>
          <w:sz w:val="32"/>
          <w:szCs w:val="32"/>
        </w:rPr>
        <w:t>异议分为实质性异议和非实质性异议。凡对涉及推荐书填写不实，剽窃、侵夺他人的发现、发明或者其他科学技术成果的，或者以其他不正当手段骗取行业科技奖奖项所提出的异议为实质性异议，其它为非实质性异议。对评审等级的意见，不属异议范围。</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实质性异议，由奖励办负责协调解决，相关单位和个人应积极配合。必要时组织专家进行调查，提出处理意见。</w:t>
      </w:r>
    </w:p>
    <w:p>
      <w:pPr>
        <w:snapToGrid w:val="0"/>
        <w:spacing w:afterLines="0" w:line="540" w:lineRule="exact"/>
        <w:ind w:firstLine="570"/>
        <w:rPr>
          <w:rFonts w:ascii="仿宋_GB2312" w:hAnsi="华文仿宋"/>
          <w:szCs w:val="32"/>
        </w:rPr>
      </w:pPr>
      <w:r>
        <w:rPr>
          <w:rFonts w:hint="eastAsia" w:ascii="仿宋_GB2312" w:hAnsi="华文仿宋"/>
          <w:szCs w:val="32"/>
        </w:rPr>
        <w:t>非实质性异议由项目申报</w:t>
      </w:r>
      <w:r>
        <w:rPr>
          <w:rFonts w:ascii="仿宋_GB2312" w:hAnsi="华文仿宋"/>
          <w:szCs w:val="32"/>
        </w:rPr>
        <w:t>单位</w:t>
      </w:r>
      <w:r>
        <w:rPr>
          <w:rFonts w:hint="eastAsia" w:ascii="仿宋_GB2312" w:hAnsi="华文仿宋"/>
          <w:szCs w:val="32"/>
        </w:rPr>
        <w:t>自行协调解决。</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自奖励办收到异议起20个工作日内为异议处理期，超过20个工作日异议未处理完的，可以作为本届不予评审的项目处理。</w:t>
      </w:r>
    </w:p>
    <w:p>
      <w:pPr>
        <w:snapToGrid w:val="0"/>
        <w:spacing w:afterLines="0" w:line="540" w:lineRule="exact"/>
        <w:jc w:val="center"/>
        <w:rPr>
          <w:rFonts w:ascii="仿宋_GB2312" w:hAnsi="华文仿宋"/>
          <w:szCs w:val="32"/>
        </w:rPr>
      </w:pPr>
    </w:p>
    <w:p>
      <w:pPr>
        <w:snapToGrid w:val="0"/>
        <w:spacing w:afterLines="0" w:line="540" w:lineRule="exact"/>
        <w:jc w:val="center"/>
        <w:outlineLvl w:val="0"/>
        <w:rPr>
          <w:rFonts w:ascii="仿宋_GB2312" w:hAnsi="华文仿宋"/>
          <w:b/>
          <w:szCs w:val="32"/>
        </w:rPr>
      </w:pPr>
      <w:r>
        <w:rPr>
          <w:rFonts w:hint="eastAsia" w:ascii="仿宋_GB2312" w:hAnsi="华文仿宋"/>
          <w:b/>
          <w:szCs w:val="32"/>
        </w:rPr>
        <w:t>第十</w:t>
      </w:r>
      <w:r>
        <w:rPr>
          <w:rFonts w:hint="eastAsia" w:ascii="仿宋_GB2312" w:hAnsi="华文仿宋"/>
          <w:b/>
          <w:szCs w:val="32"/>
          <w:lang w:eastAsia="zh-CN"/>
        </w:rPr>
        <w:t>四</w:t>
      </w:r>
      <w:r>
        <w:rPr>
          <w:rFonts w:hint="eastAsia" w:ascii="仿宋_GB2312" w:hAnsi="华文仿宋"/>
          <w:b/>
          <w:szCs w:val="32"/>
        </w:rPr>
        <w:t>章 罚  则</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对剽窃、侵夺他人的发现、发明或者其他科学技术成果的，或者以其他不正当手段骗取行业科技奖奖项的，经核实后，由奖励办报奖励委员会批准后撤消授奖，并在行业内进行通报。情节严重者，5年内不得申报行业科技奖。</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项目申报</w:t>
      </w:r>
      <w:r>
        <w:rPr>
          <w:rFonts w:ascii="仿宋_GB2312" w:hAnsi="华文仿宋"/>
          <w:szCs w:val="32"/>
        </w:rPr>
        <w:t>单位</w:t>
      </w:r>
      <w:r>
        <w:rPr>
          <w:rFonts w:hint="eastAsia" w:ascii="仿宋_GB2312" w:hAnsi="华文仿宋"/>
          <w:szCs w:val="32"/>
        </w:rPr>
        <w:t>和个人提供虚假数据、材料，协助他人骗取科学技术奖励的，经核实后通报批评；情节严重的，暂停或者取消其申报资格。</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参与行业科技奖励有关工作的人员在评审活动中弄虚作假、徇私舞弊的，依法追究责任。</w:t>
      </w:r>
    </w:p>
    <w:p>
      <w:pPr>
        <w:snapToGrid w:val="0"/>
        <w:spacing w:afterLines="0" w:line="540" w:lineRule="exact"/>
        <w:jc w:val="center"/>
        <w:rPr>
          <w:rFonts w:ascii="仿宋_GB2312" w:hAnsi="华文仿宋"/>
          <w:szCs w:val="32"/>
        </w:rPr>
      </w:pPr>
    </w:p>
    <w:p>
      <w:pPr>
        <w:snapToGrid w:val="0"/>
        <w:spacing w:afterLines="0" w:line="540" w:lineRule="exact"/>
        <w:jc w:val="center"/>
        <w:outlineLvl w:val="0"/>
        <w:rPr>
          <w:rFonts w:ascii="仿宋_GB2312" w:hAnsi="华文仿宋"/>
          <w:b/>
          <w:szCs w:val="32"/>
        </w:rPr>
      </w:pPr>
      <w:r>
        <w:rPr>
          <w:rFonts w:hint="eastAsia" w:ascii="仿宋_GB2312" w:hAnsi="华文仿宋"/>
          <w:b/>
          <w:szCs w:val="32"/>
        </w:rPr>
        <w:t>第十</w:t>
      </w:r>
      <w:r>
        <w:rPr>
          <w:rFonts w:hint="eastAsia" w:ascii="仿宋_GB2312" w:hAnsi="华文仿宋"/>
          <w:b/>
          <w:szCs w:val="32"/>
          <w:lang w:eastAsia="zh-CN"/>
        </w:rPr>
        <w:t>五</w:t>
      </w:r>
      <w:r>
        <w:rPr>
          <w:rFonts w:hint="eastAsia" w:ascii="仿宋_GB2312" w:hAnsi="华文仿宋"/>
          <w:b/>
          <w:szCs w:val="32"/>
        </w:rPr>
        <w:t>章 附  则</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本办法由奖励办负责解释。</w:t>
      </w:r>
    </w:p>
    <w:p>
      <w:pPr>
        <w:numPr>
          <w:ilvl w:val="0"/>
          <w:numId w:val="1"/>
        </w:numPr>
        <w:snapToGrid w:val="0"/>
        <w:spacing w:afterLines="0" w:line="540" w:lineRule="exact"/>
        <w:ind w:firstLine="640" w:firstLineChars="200"/>
        <w:jc w:val="left"/>
        <w:rPr>
          <w:rFonts w:ascii="仿宋_GB2312" w:hAnsi="华文仿宋"/>
          <w:szCs w:val="32"/>
        </w:rPr>
      </w:pPr>
      <w:r>
        <w:rPr>
          <w:rFonts w:hint="eastAsia" w:ascii="仿宋_GB2312" w:hAnsi="华文仿宋"/>
          <w:szCs w:val="32"/>
        </w:rPr>
        <w:t>本办法自发布之日起施行。</w:t>
      </w:r>
    </w:p>
    <w:p>
      <w:pPr>
        <w:widowControl/>
        <w:spacing w:afterLines="0" w:line="540" w:lineRule="exact"/>
        <w:jc w:val="left"/>
      </w:pPr>
    </w:p>
    <w:p>
      <w:pPr>
        <w:spacing w:afterLines="0" w:line="540" w:lineRule="exact"/>
      </w:pPr>
    </w:p>
    <w:p>
      <w:pPr>
        <w:spacing w:afterLines="0" w:line="540" w:lineRule="exact"/>
        <w:rPr>
          <w:rFonts w:hint="eastAsi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华文中宋">
    <w:altName w:val="汉仪中宋简"/>
    <w:panose1 w:val="02010600040101010101"/>
    <w:charset w:val="86"/>
    <w:family w:val="auto"/>
    <w:pitch w:val="default"/>
    <w:sig w:usb0="00000000" w:usb1="00000000" w:usb2="00000000" w:usb3="00000000" w:csb0="0004009F" w:csb1="DFD70000"/>
  </w:font>
  <w:font w:name="华文仿宋">
    <w:altName w:val="汉仪仿宋简"/>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256E74"/>
    <w:multiLevelType w:val="singleLevel"/>
    <w:tmpl w:val="F3256E74"/>
    <w:lvl w:ilvl="0" w:tentative="0">
      <w:start w:val="2"/>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E9A"/>
    <w:rsid w:val="00146FF5"/>
    <w:rsid w:val="00182553"/>
    <w:rsid w:val="001A47C2"/>
    <w:rsid w:val="002B46A7"/>
    <w:rsid w:val="00394B6E"/>
    <w:rsid w:val="003C3086"/>
    <w:rsid w:val="00453520"/>
    <w:rsid w:val="004E3F54"/>
    <w:rsid w:val="00651A0C"/>
    <w:rsid w:val="006E1DFE"/>
    <w:rsid w:val="008163E2"/>
    <w:rsid w:val="008326F6"/>
    <w:rsid w:val="0090797F"/>
    <w:rsid w:val="00AF1FC5"/>
    <w:rsid w:val="00BC2D44"/>
    <w:rsid w:val="00BD6D57"/>
    <w:rsid w:val="00BF7B35"/>
    <w:rsid w:val="00C85FA9"/>
    <w:rsid w:val="00CB582C"/>
    <w:rsid w:val="00D51809"/>
    <w:rsid w:val="00E26E9A"/>
    <w:rsid w:val="00E54966"/>
    <w:rsid w:val="00E83177"/>
    <w:rsid w:val="01AC34D1"/>
    <w:rsid w:val="01E647F9"/>
    <w:rsid w:val="023728BF"/>
    <w:rsid w:val="023B0C37"/>
    <w:rsid w:val="024E02F8"/>
    <w:rsid w:val="02C02DD6"/>
    <w:rsid w:val="02ED0C05"/>
    <w:rsid w:val="0389415C"/>
    <w:rsid w:val="038C50E0"/>
    <w:rsid w:val="03D76B0F"/>
    <w:rsid w:val="0400509F"/>
    <w:rsid w:val="04392C7B"/>
    <w:rsid w:val="04B90854"/>
    <w:rsid w:val="04D631EA"/>
    <w:rsid w:val="04DB08EE"/>
    <w:rsid w:val="04F37F11"/>
    <w:rsid w:val="050A007D"/>
    <w:rsid w:val="051A5F1D"/>
    <w:rsid w:val="05200083"/>
    <w:rsid w:val="052A1A93"/>
    <w:rsid w:val="055E529F"/>
    <w:rsid w:val="05B41169"/>
    <w:rsid w:val="05D304F9"/>
    <w:rsid w:val="05D4049D"/>
    <w:rsid w:val="067B204B"/>
    <w:rsid w:val="068C54B9"/>
    <w:rsid w:val="0698654C"/>
    <w:rsid w:val="06AC5507"/>
    <w:rsid w:val="06E94E42"/>
    <w:rsid w:val="07126526"/>
    <w:rsid w:val="071D62BD"/>
    <w:rsid w:val="072D2F8B"/>
    <w:rsid w:val="076A35A4"/>
    <w:rsid w:val="077A4051"/>
    <w:rsid w:val="078643D0"/>
    <w:rsid w:val="07EE3FF9"/>
    <w:rsid w:val="085C3104"/>
    <w:rsid w:val="086C210C"/>
    <w:rsid w:val="08A13E5B"/>
    <w:rsid w:val="08C6580E"/>
    <w:rsid w:val="092B7C9F"/>
    <w:rsid w:val="09A15A3D"/>
    <w:rsid w:val="09D83701"/>
    <w:rsid w:val="09DB0B42"/>
    <w:rsid w:val="09E970C5"/>
    <w:rsid w:val="0A0126A1"/>
    <w:rsid w:val="0A13028D"/>
    <w:rsid w:val="0A187979"/>
    <w:rsid w:val="0A2579B4"/>
    <w:rsid w:val="0A4422E6"/>
    <w:rsid w:val="0A627318"/>
    <w:rsid w:val="0A9123E5"/>
    <w:rsid w:val="0AB779C9"/>
    <w:rsid w:val="0AB90928"/>
    <w:rsid w:val="0ADB6549"/>
    <w:rsid w:val="0AF6565B"/>
    <w:rsid w:val="0B0D1025"/>
    <w:rsid w:val="0B0D44F5"/>
    <w:rsid w:val="0B0E19AF"/>
    <w:rsid w:val="0B744BD6"/>
    <w:rsid w:val="0BD30D2C"/>
    <w:rsid w:val="0BF75D2F"/>
    <w:rsid w:val="0C23502E"/>
    <w:rsid w:val="0C7B1215"/>
    <w:rsid w:val="0CD60556"/>
    <w:rsid w:val="0CDC46FF"/>
    <w:rsid w:val="0D1336AF"/>
    <w:rsid w:val="0D2579F5"/>
    <w:rsid w:val="0D8D616E"/>
    <w:rsid w:val="0DBD3ACB"/>
    <w:rsid w:val="0DD253F5"/>
    <w:rsid w:val="0E7A72C7"/>
    <w:rsid w:val="0E8E1971"/>
    <w:rsid w:val="0EA63619"/>
    <w:rsid w:val="0F1166C7"/>
    <w:rsid w:val="0F3227CB"/>
    <w:rsid w:val="0F750C78"/>
    <w:rsid w:val="0F8B5FCB"/>
    <w:rsid w:val="0FC85F3C"/>
    <w:rsid w:val="0FD61908"/>
    <w:rsid w:val="0FDE66B7"/>
    <w:rsid w:val="0FEF3A97"/>
    <w:rsid w:val="10166B43"/>
    <w:rsid w:val="1028150D"/>
    <w:rsid w:val="1030204F"/>
    <w:rsid w:val="10434003"/>
    <w:rsid w:val="109F4BD4"/>
    <w:rsid w:val="10A357D8"/>
    <w:rsid w:val="11035181"/>
    <w:rsid w:val="111365DB"/>
    <w:rsid w:val="1119583F"/>
    <w:rsid w:val="11794537"/>
    <w:rsid w:val="11A20D6C"/>
    <w:rsid w:val="11EE1F77"/>
    <w:rsid w:val="1241348A"/>
    <w:rsid w:val="1279795D"/>
    <w:rsid w:val="12A1781C"/>
    <w:rsid w:val="12F35B42"/>
    <w:rsid w:val="13396BF6"/>
    <w:rsid w:val="13D06E2A"/>
    <w:rsid w:val="13D7311C"/>
    <w:rsid w:val="13DC4B86"/>
    <w:rsid w:val="14167A41"/>
    <w:rsid w:val="141A773A"/>
    <w:rsid w:val="142547CB"/>
    <w:rsid w:val="142660F9"/>
    <w:rsid w:val="144B30BA"/>
    <w:rsid w:val="14522A66"/>
    <w:rsid w:val="14547182"/>
    <w:rsid w:val="14720422"/>
    <w:rsid w:val="147F12E6"/>
    <w:rsid w:val="14981ED6"/>
    <w:rsid w:val="14C26DEA"/>
    <w:rsid w:val="14E05B4D"/>
    <w:rsid w:val="14F24B6E"/>
    <w:rsid w:val="14F90C75"/>
    <w:rsid w:val="159A15C7"/>
    <w:rsid w:val="15B2609A"/>
    <w:rsid w:val="15D20864"/>
    <w:rsid w:val="166B3565"/>
    <w:rsid w:val="166C56C6"/>
    <w:rsid w:val="169B1C83"/>
    <w:rsid w:val="169F4829"/>
    <w:rsid w:val="17120C5F"/>
    <w:rsid w:val="17144548"/>
    <w:rsid w:val="1716356E"/>
    <w:rsid w:val="1781069F"/>
    <w:rsid w:val="17CB1D98"/>
    <w:rsid w:val="17E77D17"/>
    <w:rsid w:val="17EF1062"/>
    <w:rsid w:val="1839543E"/>
    <w:rsid w:val="18627B26"/>
    <w:rsid w:val="189D42EF"/>
    <w:rsid w:val="18B65219"/>
    <w:rsid w:val="18DA07B9"/>
    <w:rsid w:val="18E44A63"/>
    <w:rsid w:val="18EC56F3"/>
    <w:rsid w:val="18EF1F80"/>
    <w:rsid w:val="19180223"/>
    <w:rsid w:val="19767855"/>
    <w:rsid w:val="198069E3"/>
    <w:rsid w:val="198310E9"/>
    <w:rsid w:val="1A072992"/>
    <w:rsid w:val="1A11148C"/>
    <w:rsid w:val="1A197F1C"/>
    <w:rsid w:val="1A5F77EC"/>
    <w:rsid w:val="1A7F48BE"/>
    <w:rsid w:val="1A990CE5"/>
    <w:rsid w:val="1AF93593"/>
    <w:rsid w:val="1B0F362A"/>
    <w:rsid w:val="1B2369D2"/>
    <w:rsid w:val="1B303586"/>
    <w:rsid w:val="1B3E6F6B"/>
    <w:rsid w:val="1BCE3EBF"/>
    <w:rsid w:val="1BD25BEE"/>
    <w:rsid w:val="1C0D2B89"/>
    <w:rsid w:val="1C230538"/>
    <w:rsid w:val="1C32514F"/>
    <w:rsid w:val="1C355B31"/>
    <w:rsid w:val="1C5434F2"/>
    <w:rsid w:val="1CA078F9"/>
    <w:rsid w:val="1CA8501E"/>
    <w:rsid w:val="1CE67976"/>
    <w:rsid w:val="1CFC11B5"/>
    <w:rsid w:val="1D0609AB"/>
    <w:rsid w:val="1D0E163B"/>
    <w:rsid w:val="1D17233C"/>
    <w:rsid w:val="1D4C22D4"/>
    <w:rsid w:val="1D6C3331"/>
    <w:rsid w:val="1D7A05E1"/>
    <w:rsid w:val="1E1046E0"/>
    <w:rsid w:val="1E364B0B"/>
    <w:rsid w:val="1E856F5C"/>
    <w:rsid w:val="1E877BA2"/>
    <w:rsid w:val="1EA974EA"/>
    <w:rsid w:val="1EB74566"/>
    <w:rsid w:val="1EF8124F"/>
    <w:rsid w:val="1F600E4B"/>
    <w:rsid w:val="1F755094"/>
    <w:rsid w:val="1F75782B"/>
    <w:rsid w:val="1F7E18FD"/>
    <w:rsid w:val="1F9E162C"/>
    <w:rsid w:val="1FD04B4B"/>
    <w:rsid w:val="1FE83426"/>
    <w:rsid w:val="20187034"/>
    <w:rsid w:val="20194AB6"/>
    <w:rsid w:val="203046DB"/>
    <w:rsid w:val="205A3388"/>
    <w:rsid w:val="20B44934"/>
    <w:rsid w:val="20CA48D9"/>
    <w:rsid w:val="20DC48EF"/>
    <w:rsid w:val="21162B31"/>
    <w:rsid w:val="214159E8"/>
    <w:rsid w:val="216A1B98"/>
    <w:rsid w:val="21B07155"/>
    <w:rsid w:val="21B657DB"/>
    <w:rsid w:val="21BE5BEE"/>
    <w:rsid w:val="221A4CD6"/>
    <w:rsid w:val="2261202A"/>
    <w:rsid w:val="22800407"/>
    <w:rsid w:val="22AE7F72"/>
    <w:rsid w:val="22D42436"/>
    <w:rsid w:val="23164E7D"/>
    <w:rsid w:val="237C4150"/>
    <w:rsid w:val="23B1689B"/>
    <w:rsid w:val="23BC26AD"/>
    <w:rsid w:val="23CB536C"/>
    <w:rsid w:val="23E448E7"/>
    <w:rsid w:val="23EF6121"/>
    <w:rsid w:val="24074E32"/>
    <w:rsid w:val="240A34A8"/>
    <w:rsid w:val="241E729B"/>
    <w:rsid w:val="24297AE6"/>
    <w:rsid w:val="243F2C87"/>
    <w:rsid w:val="2445757A"/>
    <w:rsid w:val="24680FFA"/>
    <w:rsid w:val="24CC0ED1"/>
    <w:rsid w:val="257442EB"/>
    <w:rsid w:val="259A6BD1"/>
    <w:rsid w:val="25BE30F8"/>
    <w:rsid w:val="25F5732C"/>
    <w:rsid w:val="2607705C"/>
    <w:rsid w:val="260A748F"/>
    <w:rsid w:val="264C74E4"/>
    <w:rsid w:val="2653633A"/>
    <w:rsid w:val="268B284C"/>
    <w:rsid w:val="268E3693"/>
    <w:rsid w:val="2690247E"/>
    <w:rsid w:val="26B772D7"/>
    <w:rsid w:val="26CD2DDB"/>
    <w:rsid w:val="26D33C77"/>
    <w:rsid w:val="26E451EA"/>
    <w:rsid w:val="26ED77FC"/>
    <w:rsid w:val="270C689D"/>
    <w:rsid w:val="272116BD"/>
    <w:rsid w:val="27272E1A"/>
    <w:rsid w:val="27367A60"/>
    <w:rsid w:val="274057F2"/>
    <w:rsid w:val="274E2B2F"/>
    <w:rsid w:val="27571494"/>
    <w:rsid w:val="278747FA"/>
    <w:rsid w:val="278C1BEC"/>
    <w:rsid w:val="279D33B3"/>
    <w:rsid w:val="279E3F5F"/>
    <w:rsid w:val="280D3AF3"/>
    <w:rsid w:val="282E4039"/>
    <w:rsid w:val="283A348C"/>
    <w:rsid w:val="283D4410"/>
    <w:rsid w:val="28571176"/>
    <w:rsid w:val="285862BF"/>
    <w:rsid w:val="286B1A5C"/>
    <w:rsid w:val="287845F5"/>
    <w:rsid w:val="28813C00"/>
    <w:rsid w:val="2892191C"/>
    <w:rsid w:val="289F4AA4"/>
    <w:rsid w:val="28B240BD"/>
    <w:rsid w:val="29074943"/>
    <w:rsid w:val="29263821"/>
    <w:rsid w:val="29275693"/>
    <w:rsid w:val="29444FC3"/>
    <w:rsid w:val="29677F00"/>
    <w:rsid w:val="29B6354C"/>
    <w:rsid w:val="29DC0639"/>
    <w:rsid w:val="29ED1DA0"/>
    <w:rsid w:val="2A2F0444"/>
    <w:rsid w:val="2A3A4256"/>
    <w:rsid w:val="2A44699A"/>
    <w:rsid w:val="2A6553E6"/>
    <w:rsid w:val="2A6D1D06"/>
    <w:rsid w:val="2AFC5F58"/>
    <w:rsid w:val="2B081843"/>
    <w:rsid w:val="2B590E2A"/>
    <w:rsid w:val="2B7168EC"/>
    <w:rsid w:val="2B8C621F"/>
    <w:rsid w:val="2BA801F9"/>
    <w:rsid w:val="2BB01839"/>
    <w:rsid w:val="2BCD42B1"/>
    <w:rsid w:val="2C347894"/>
    <w:rsid w:val="2C745144"/>
    <w:rsid w:val="2CCC0688"/>
    <w:rsid w:val="2CD46856"/>
    <w:rsid w:val="2CF55EFF"/>
    <w:rsid w:val="2CF9108B"/>
    <w:rsid w:val="2D0211E6"/>
    <w:rsid w:val="2D097601"/>
    <w:rsid w:val="2D342CBA"/>
    <w:rsid w:val="2D6D0A5F"/>
    <w:rsid w:val="2DAA5878"/>
    <w:rsid w:val="2E2312BE"/>
    <w:rsid w:val="2E262979"/>
    <w:rsid w:val="2E6E1AC8"/>
    <w:rsid w:val="2E9F6673"/>
    <w:rsid w:val="2F105969"/>
    <w:rsid w:val="2F244E9F"/>
    <w:rsid w:val="2F760871"/>
    <w:rsid w:val="2F8D58EC"/>
    <w:rsid w:val="2F9C1E82"/>
    <w:rsid w:val="2F9E402D"/>
    <w:rsid w:val="2FA51ED7"/>
    <w:rsid w:val="2FB94A5B"/>
    <w:rsid w:val="2FDF2898"/>
    <w:rsid w:val="303C72DE"/>
    <w:rsid w:val="3076646A"/>
    <w:rsid w:val="30D74EA8"/>
    <w:rsid w:val="31307046"/>
    <w:rsid w:val="31A3127F"/>
    <w:rsid w:val="31BE6E53"/>
    <w:rsid w:val="31C10830"/>
    <w:rsid w:val="31CF160E"/>
    <w:rsid w:val="321F317F"/>
    <w:rsid w:val="324F48AF"/>
    <w:rsid w:val="3300373A"/>
    <w:rsid w:val="332500F7"/>
    <w:rsid w:val="33360FA4"/>
    <w:rsid w:val="33374123"/>
    <w:rsid w:val="336C7A32"/>
    <w:rsid w:val="338B249D"/>
    <w:rsid w:val="339A00B5"/>
    <w:rsid w:val="33C12551"/>
    <w:rsid w:val="33CE2162"/>
    <w:rsid w:val="341A24B9"/>
    <w:rsid w:val="34203812"/>
    <w:rsid w:val="34332FE9"/>
    <w:rsid w:val="34623382"/>
    <w:rsid w:val="34751097"/>
    <w:rsid w:val="34A026C3"/>
    <w:rsid w:val="34C47A80"/>
    <w:rsid w:val="34F07C48"/>
    <w:rsid w:val="34F812F7"/>
    <w:rsid w:val="350974B0"/>
    <w:rsid w:val="355F1FA0"/>
    <w:rsid w:val="35611C20"/>
    <w:rsid w:val="35BA345E"/>
    <w:rsid w:val="35C2610B"/>
    <w:rsid w:val="361A0126"/>
    <w:rsid w:val="361E40E8"/>
    <w:rsid w:val="36346B9C"/>
    <w:rsid w:val="369F292C"/>
    <w:rsid w:val="36E355AA"/>
    <w:rsid w:val="36E6529F"/>
    <w:rsid w:val="37016A61"/>
    <w:rsid w:val="37072F15"/>
    <w:rsid w:val="370A6758"/>
    <w:rsid w:val="3725594C"/>
    <w:rsid w:val="375720DA"/>
    <w:rsid w:val="376129EA"/>
    <w:rsid w:val="37916240"/>
    <w:rsid w:val="37EB4C67"/>
    <w:rsid w:val="37F84188"/>
    <w:rsid w:val="37FE47FA"/>
    <w:rsid w:val="385214E4"/>
    <w:rsid w:val="386C209B"/>
    <w:rsid w:val="387210AA"/>
    <w:rsid w:val="387B7A80"/>
    <w:rsid w:val="38C43B1F"/>
    <w:rsid w:val="38E627E6"/>
    <w:rsid w:val="390B4FA4"/>
    <w:rsid w:val="39191D3B"/>
    <w:rsid w:val="396D34FC"/>
    <w:rsid w:val="39BD56DA"/>
    <w:rsid w:val="39CF35CC"/>
    <w:rsid w:val="39FB2AF3"/>
    <w:rsid w:val="3A21616E"/>
    <w:rsid w:val="3B006358"/>
    <w:rsid w:val="3B043861"/>
    <w:rsid w:val="3B05538B"/>
    <w:rsid w:val="3B235D6C"/>
    <w:rsid w:val="3B3572C0"/>
    <w:rsid w:val="3B4C09D6"/>
    <w:rsid w:val="3B6C0FF1"/>
    <w:rsid w:val="3BAD5578"/>
    <w:rsid w:val="3BCF2692"/>
    <w:rsid w:val="3BE92652"/>
    <w:rsid w:val="3C0452F5"/>
    <w:rsid w:val="3C4949EA"/>
    <w:rsid w:val="3C7108FD"/>
    <w:rsid w:val="3CED5F04"/>
    <w:rsid w:val="3D340877"/>
    <w:rsid w:val="3D5E514C"/>
    <w:rsid w:val="3DAF01C0"/>
    <w:rsid w:val="3E1201FF"/>
    <w:rsid w:val="3E8B46AB"/>
    <w:rsid w:val="3EAB715E"/>
    <w:rsid w:val="3EE150AE"/>
    <w:rsid w:val="3EED5300"/>
    <w:rsid w:val="3EEE4B92"/>
    <w:rsid w:val="3F023369"/>
    <w:rsid w:val="3F0632E7"/>
    <w:rsid w:val="3F135889"/>
    <w:rsid w:val="3F2350E9"/>
    <w:rsid w:val="3F894CC9"/>
    <w:rsid w:val="3FB81393"/>
    <w:rsid w:val="3FE854C3"/>
    <w:rsid w:val="3FF11EEA"/>
    <w:rsid w:val="3FFC0C9F"/>
    <w:rsid w:val="3FFD6063"/>
    <w:rsid w:val="40864ED4"/>
    <w:rsid w:val="40AC0F31"/>
    <w:rsid w:val="41011831"/>
    <w:rsid w:val="41190BEE"/>
    <w:rsid w:val="413E1696"/>
    <w:rsid w:val="413E3084"/>
    <w:rsid w:val="414954A9"/>
    <w:rsid w:val="419C22B8"/>
    <w:rsid w:val="41DD5D1C"/>
    <w:rsid w:val="41E20BEC"/>
    <w:rsid w:val="422F22A3"/>
    <w:rsid w:val="42E06844"/>
    <w:rsid w:val="43423065"/>
    <w:rsid w:val="43A71BA4"/>
    <w:rsid w:val="43B533A4"/>
    <w:rsid w:val="440F482D"/>
    <w:rsid w:val="442701F2"/>
    <w:rsid w:val="44775DE2"/>
    <w:rsid w:val="44C147DB"/>
    <w:rsid w:val="44D324F7"/>
    <w:rsid w:val="44FD0B3A"/>
    <w:rsid w:val="457262B9"/>
    <w:rsid w:val="46342C88"/>
    <w:rsid w:val="463D0C02"/>
    <w:rsid w:val="46CD35B6"/>
    <w:rsid w:val="46D11025"/>
    <w:rsid w:val="47020DCD"/>
    <w:rsid w:val="47315859"/>
    <w:rsid w:val="473E03F2"/>
    <w:rsid w:val="477F4F0F"/>
    <w:rsid w:val="478E6E56"/>
    <w:rsid w:val="47B76DB7"/>
    <w:rsid w:val="47CA3217"/>
    <w:rsid w:val="47E2567D"/>
    <w:rsid w:val="47F147CC"/>
    <w:rsid w:val="481746B9"/>
    <w:rsid w:val="481C18E5"/>
    <w:rsid w:val="48693111"/>
    <w:rsid w:val="4891710C"/>
    <w:rsid w:val="48B53B1F"/>
    <w:rsid w:val="48D17504"/>
    <w:rsid w:val="48DA7E13"/>
    <w:rsid w:val="49424AF1"/>
    <w:rsid w:val="495010D7"/>
    <w:rsid w:val="4981083F"/>
    <w:rsid w:val="498C4B04"/>
    <w:rsid w:val="49CC7870"/>
    <w:rsid w:val="4A0F04CE"/>
    <w:rsid w:val="4A9A7861"/>
    <w:rsid w:val="4B080428"/>
    <w:rsid w:val="4B0D7906"/>
    <w:rsid w:val="4B2941E0"/>
    <w:rsid w:val="4B426B3A"/>
    <w:rsid w:val="4B5A712B"/>
    <w:rsid w:val="4BBF5EC4"/>
    <w:rsid w:val="4BC61AE0"/>
    <w:rsid w:val="4BEC2EEA"/>
    <w:rsid w:val="4C1A20F5"/>
    <w:rsid w:val="4C322E08"/>
    <w:rsid w:val="4C59524B"/>
    <w:rsid w:val="4C8A780F"/>
    <w:rsid w:val="4C973805"/>
    <w:rsid w:val="4CF237CB"/>
    <w:rsid w:val="4D106063"/>
    <w:rsid w:val="4D405AC9"/>
    <w:rsid w:val="4D453D11"/>
    <w:rsid w:val="4DB8637A"/>
    <w:rsid w:val="4DBD4199"/>
    <w:rsid w:val="4DF420F5"/>
    <w:rsid w:val="4DFC7D4A"/>
    <w:rsid w:val="4DFD7181"/>
    <w:rsid w:val="4E0971A8"/>
    <w:rsid w:val="4E59789B"/>
    <w:rsid w:val="4E6648EF"/>
    <w:rsid w:val="4E6D0ABA"/>
    <w:rsid w:val="4EFE5D3C"/>
    <w:rsid w:val="4F2446A2"/>
    <w:rsid w:val="4F440FAE"/>
    <w:rsid w:val="4F470CE6"/>
    <w:rsid w:val="4F506B2E"/>
    <w:rsid w:val="4F8154FD"/>
    <w:rsid w:val="4F943D9F"/>
    <w:rsid w:val="4FE27AA1"/>
    <w:rsid w:val="4FE5334A"/>
    <w:rsid w:val="4FFB1EDA"/>
    <w:rsid w:val="502E45F6"/>
    <w:rsid w:val="505D37E8"/>
    <w:rsid w:val="5069507C"/>
    <w:rsid w:val="50762849"/>
    <w:rsid w:val="507B2864"/>
    <w:rsid w:val="507C2A18"/>
    <w:rsid w:val="50920245"/>
    <w:rsid w:val="50B53E76"/>
    <w:rsid w:val="50E101BE"/>
    <w:rsid w:val="50EF14DF"/>
    <w:rsid w:val="50FE1233"/>
    <w:rsid w:val="512231AA"/>
    <w:rsid w:val="51246B35"/>
    <w:rsid w:val="51405FD9"/>
    <w:rsid w:val="51974469"/>
    <w:rsid w:val="51981EEB"/>
    <w:rsid w:val="51AF456A"/>
    <w:rsid w:val="51D51D50"/>
    <w:rsid w:val="51FC2EF3"/>
    <w:rsid w:val="52133DB3"/>
    <w:rsid w:val="52376571"/>
    <w:rsid w:val="523771F3"/>
    <w:rsid w:val="526B5CD8"/>
    <w:rsid w:val="530A587A"/>
    <w:rsid w:val="533007D8"/>
    <w:rsid w:val="533D505A"/>
    <w:rsid w:val="536C1EED"/>
    <w:rsid w:val="539A2935"/>
    <w:rsid w:val="53D22DFD"/>
    <w:rsid w:val="53FB5C28"/>
    <w:rsid w:val="54021060"/>
    <w:rsid w:val="54581CFA"/>
    <w:rsid w:val="54674D8F"/>
    <w:rsid w:val="553653FE"/>
    <w:rsid w:val="55440772"/>
    <w:rsid w:val="55ED7906"/>
    <w:rsid w:val="55F061F6"/>
    <w:rsid w:val="55F075E7"/>
    <w:rsid w:val="55FD211F"/>
    <w:rsid w:val="560D5C3D"/>
    <w:rsid w:val="567B30EE"/>
    <w:rsid w:val="567D4436"/>
    <w:rsid w:val="56911BF8"/>
    <w:rsid w:val="56BC4ADC"/>
    <w:rsid w:val="56D8660A"/>
    <w:rsid w:val="56E11498"/>
    <w:rsid w:val="56EC0994"/>
    <w:rsid w:val="57005401"/>
    <w:rsid w:val="57507FF2"/>
    <w:rsid w:val="576A00F7"/>
    <w:rsid w:val="57992B37"/>
    <w:rsid w:val="57A83AEA"/>
    <w:rsid w:val="584A3D40"/>
    <w:rsid w:val="586A351D"/>
    <w:rsid w:val="586A7C9A"/>
    <w:rsid w:val="58AD6B09"/>
    <w:rsid w:val="58DE6C60"/>
    <w:rsid w:val="59796FBC"/>
    <w:rsid w:val="59957B7A"/>
    <w:rsid w:val="599B3347"/>
    <w:rsid w:val="5A037643"/>
    <w:rsid w:val="5A065F8E"/>
    <w:rsid w:val="5A54032A"/>
    <w:rsid w:val="5A5E5E14"/>
    <w:rsid w:val="5A714293"/>
    <w:rsid w:val="5A8646B8"/>
    <w:rsid w:val="5AD90F8D"/>
    <w:rsid w:val="5ADC5520"/>
    <w:rsid w:val="5B405245"/>
    <w:rsid w:val="5B425A30"/>
    <w:rsid w:val="5B813AB0"/>
    <w:rsid w:val="5B844A35"/>
    <w:rsid w:val="5B92413E"/>
    <w:rsid w:val="5BA627CC"/>
    <w:rsid w:val="5BBF7EA1"/>
    <w:rsid w:val="5C206036"/>
    <w:rsid w:val="5C546007"/>
    <w:rsid w:val="5C587CF0"/>
    <w:rsid w:val="5C59248E"/>
    <w:rsid w:val="5C5A76E5"/>
    <w:rsid w:val="5C654AF6"/>
    <w:rsid w:val="5CA14648"/>
    <w:rsid w:val="5CF77E96"/>
    <w:rsid w:val="5D102091"/>
    <w:rsid w:val="5D417836"/>
    <w:rsid w:val="5D4E61AF"/>
    <w:rsid w:val="5D5A04F6"/>
    <w:rsid w:val="5D5F08E6"/>
    <w:rsid w:val="5DAF2D70"/>
    <w:rsid w:val="5DBF76D9"/>
    <w:rsid w:val="5DE04E73"/>
    <w:rsid w:val="5DEF3829"/>
    <w:rsid w:val="5DFE05C1"/>
    <w:rsid w:val="5E001646"/>
    <w:rsid w:val="5E007347"/>
    <w:rsid w:val="5E0B7B56"/>
    <w:rsid w:val="5E505BD4"/>
    <w:rsid w:val="5E747306"/>
    <w:rsid w:val="5EBF1216"/>
    <w:rsid w:val="5ED70290"/>
    <w:rsid w:val="5F321456"/>
    <w:rsid w:val="5F6E6FD3"/>
    <w:rsid w:val="5F987C49"/>
    <w:rsid w:val="5F9B7839"/>
    <w:rsid w:val="5FDB7C6D"/>
    <w:rsid w:val="5FE220B7"/>
    <w:rsid w:val="5FFE41F0"/>
    <w:rsid w:val="605E26A9"/>
    <w:rsid w:val="609008FA"/>
    <w:rsid w:val="60AE6AB4"/>
    <w:rsid w:val="60CA2CA7"/>
    <w:rsid w:val="60D534FB"/>
    <w:rsid w:val="60D76AF0"/>
    <w:rsid w:val="60D8348A"/>
    <w:rsid w:val="60F964DC"/>
    <w:rsid w:val="615F1EF9"/>
    <w:rsid w:val="61CA3976"/>
    <w:rsid w:val="62124146"/>
    <w:rsid w:val="622616F3"/>
    <w:rsid w:val="62427F23"/>
    <w:rsid w:val="627E0125"/>
    <w:rsid w:val="62C652FC"/>
    <w:rsid w:val="62D66962"/>
    <w:rsid w:val="62DA2A3D"/>
    <w:rsid w:val="62F270AE"/>
    <w:rsid w:val="62FC09F3"/>
    <w:rsid w:val="631936B7"/>
    <w:rsid w:val="633F5F3C"/>
    <w:rsid w:val="63435996"/>
    <w:rsid w:val="639B5229"/>
    <w:rsid w:val="63B2141C"/>
    <w:rsid w:val="63CE638C"/>
    <w:rsid w:val="63DA6A02"/>
    <w:rsid w:val="63E30CF1"/>
    <w:rsid w:val="6411357B"/>
    <w:rsid w:val="642C0F11"/>
    <w:rsid w:val="64403DD3"/>
    <w:rsid w:val="646F5BEF"/>
    <w:rsid w:val="649E1424"/>
    <w:rsid w:val="64B75F49"/>
    <w:rsid w:val="64BB7FD1"/>
    <w:rsid w:val="650D3936"/>
    <w:rsid w:val="65744900"/>
    <w:rsid w:val="65DF6369"/>
    <w:rsid w:val="65F8778F"/>
    <w:rsid w:val="66135827"/>
    <w:rsid w:val="66176227"/>
    <w:rsid w:val="665262A8"/>
    <w:rsid w:val="6661609F"/>
    <w:rsid w:val="66AB3B01"/>
    <w:rsid w:val="66AE6C06"/>
    <w:rsid w:val="66AE7F8C"/>
    <w:rsid w:val="66C04121"/>
    <w:rsid w:val="67081542"/>
    <w:rsid w:val="673510F0"/>
    <w:rsid w:val="67441891"/>
    <w:rsid w:val="675B5B39"/>
    <w:rsid w:val="67663942"/>
    <w:rsid w:val="67C21CB8"/>
    <w:rsid w:val="682645CC"/>
    <w:rsid w:val="68781F2A"/>
    <w:rsid w:val="68A53D99"/>
    <w:rsid w:val="68B2285A"/>
    <w:rsid w:val="68B9168D"/>
    <w:rsid w:val="68C44A8C"/>
    <w:rsid w:val="69184548"/>
    <w:rsid w:val="693862AF"/>
    <w:rsid w:val="695E2C6C"/>
    <w:rsid w:val="69B57AA8"/>
    <w:rsid w:val="69D22F35"/>
    <w:rsid w:val="69E72BF2"/>
    <w:rsid w:val="69FF0D76"/>
    <w:rsid w:val="6A293639"/>
    <w:rsid w:val="6A3F01AA"/>
    <w:rsid w:val="6A565719"/>
    <w:rsid w:val="6A636002"/>
    <w:rsid w:val="6A667C1B"/>
    <w:rsid w:val="6A863958"/>
    <w:rsid w:val="6AAC6AFC"/>
    <w:rsid w:val="6AB37D1A"/>
    <w:rsid w:val="6AD172CA"/>
    <w:rsid w:val="6AE91B7F"/>
    <w:rsid w:val="6AF07B7F"/>
    <w:rsid w:val="6AF13082"/>
    <w:rsid w:val="6B252A70"/>
    <w:rsid w:val="6B2547D6"/>
    <w:rsid w:val="6B4A3825"/>
    <w:rsid w:val="6B5F711A"/>
    <w:rsid w:val="6B8F4205"/>
    <w:rsid w:val="6B916358"/>
    <w:rsid w:val="6B9DFD6C"/>
    <w:rsid w:val="6BA63E2B"/>
    <w:rsid w:val="6BDB3000"/>
    <w:rsid w:val="6BE1078C"/>
    <w:rsid w:val="6C1356EE"/>
    <w:rsid w:val="6C61455E"/>
    <w:rsid w:val="6C8C1754"/>
    <w:rsid w:val="6CB54449"/>
    <w:rsid w:val="6D165BC6"/>
    <w:rsid w:val="6D315CC1"/>
    <w:rsid w:val="6D5F2712"/>
    <w:rsid w:val="6E386362"/>
    <w:rsid w:val="6E5016DB"/>
    <w:rsid w:val="6E6D6BA7"/>
    <w:rsid w:val="6EB76C30"/>
    <w:rsid w:val="6EBC59D4"/>
    <w:rsid w:val="6F022F40"/>
    <w:rsid w:val="6F2F1FD9"/>
    <w:rsid w:val="6F93311C"/>
    <w:rsid w:val="6F9D14AD"/>
    <w:rsid w:val="6FA175A6"/>
    <w:rsid w:val="6FE064DD"/>
    <w:rsid w:val="701A625D"/>
    <w:rsid w:val="702E6F27"/>
    <w:rsid w:val="70442F3F"/>
    <w:rsid w:val="7046187D"/>
    <w:rsid w:val="70727571"/>
    <w:rsid w:val="707D3531"/>
    <w:rsid w:val="70AE12EA"/>
    <w:rsid w:val="70D40B7B"/>
    <w:rsid w:val="70DE397E"/>
    <w:rsid w:val="70E417C4"/>
    <w:rsid w:val="711C2B67"/>
    <w:rsid w:val="71422504"/>
    <w:rsid w:val="714B21F6"/>
    <w:rsid w:val="71DB72DA"/>
    <w:rsid w:val="71F927CF"/>
    <w:rsid w:val="723D2CFA"/>
    <w:rsid w:val="723E0E54"/>
    <w:rsid w:val="728359ED"/>
    <w:rsid w:val="7284346E"/>
    <w:rsid w:val="72897796"/>
    <w:rsid w:val="72B22CB9"/>
    <w:rsid w:val="72C928DE"/>
    <w:rsid w:val="72F16021"/>
    <w:rsid w:val="73132DF2"/>
    <w:rsid w:val="735E6C8E"/>
    <w:rsid w:val="73665E92"/>
    <w:rsid w:val="73B01E4B"/>
    <w:rsid w:val="73CA35A0"/>
    <w:rsid w:val="73FE683A"/>
    <w:rsid w:val="740735EA"/>
    <w:rsid w:val="747616AC"/>
    <w:rsid w:val="748077AB"/>
    <w:rsid w:val="74975458"/>
    <w:rsid w:val="74AD1017"/>
    <w:rsid w:val="74AE7F7A"/>
    <w:rsid w:val="74DB4BE7"/>
    <w:rsid w:val="750D091A"/>
    <w:rsid w:val="75173427"/>
    <w:rsid w:val="752C182C"/>
    <w:rsid w:val="75B40C03"/>
    <w:rsid w:val="75B9340C"/>
    <w:rsid w:val="75BB6B8A"/>
    <w:rsid w:val="75EF3389"/>
    <w:rsid w:val="75FF31B1"/>
    <w:rsid w:val="760E56B1"/>
    <w:rsid w:val="762D2621"/>
    <w:rsid w:val="76850B65"/>
    <w:rsid w:val="76D17891"/>
    <w:rsid w:val="76F5011D"/>
    <w:rsid w:val="77507C25"/>
    <w:rsid w:val="77530949"/>
    <w:rsid w:val="77E75D24"/>
    <w:rsid w:val="77E90CC7"/>
    <w:rsid w:val="78156229"/>
    <w:rsid w:val="78235906"/>
    <w:rsid w:val="78AA0A64"/>
    <w:rsid w:val="78C33434"/>
    <w:rsid w:val="7905019A"/>
    <w:rsid w:val="790E3028"/>
    <w:rsid w:val="791400DD"/>
    <w:rsid w:val="79172FBB"/>
    <w:rsid w:val="79187287"/>
    <w:rsid w:val="794D6390"/>
    <w:rsid w:val="795139F4"/>
    <w:rsid w:val="795D258F"/>
    <w:rsid w:val="798D1378"/>
    <w:rsid w:val="79E65289"/>
    <w:rsid w:val="7A916060"/>
    <w:rsid w:val="7A9E6B92"/>
    <w:rsid w:val="7ACE3009"/>
    <w:rsid w:val="7AE95A65"/>
    <w:rsid w:val="7AEB40F4"/>
    <w:rsid w:val="7B29736D"/>
    <w:rsid w:val="7B3504E8"/>
    <w:rsid w:val="7B3C2338"/>
    <w:rsid w:val="7B4F485C"/>
    <w:rsid w:val="7B5641E6"/>
    <w:rsid w:val="7B5B4BBC"/>
    <w:rsid w:val="7B7B69A5"/>
    <w:rsid w:val="7BD00A19"/>
    <w:rsid w:val="7BE44D4F"/>
    <w:rsid w:val="7C0A652A"/>
    <w:rsid w:val="7C2103E7"/>
    <w:rsid w:val="7C4A7F77"/>
    <w:rsid w:val="7C6F3FFC"/>
    <w:rsid w:val="7D3704A9"/>
    <w:rsid w:val="7D601A7E"/>
    <w:rsid w:val="7D7E706F"/>
    <w:rsid w:val="7DB0539C"/>
    <w:rsid w:val="7DBA2B75"/>
    <w:rsid w:val="7EE36A72"/>
    <w:rsid w:val="7EF36DE5"/>
    <w:rsid w:val="7F1C02B4"/>
    <w:rsid w:val="7F6C75F1"/>
    <w:rsid w:val="7F9213D1"/>
    <w:rsid w:val="7FB33ED8"/>
    <w:rsid w:val="7FB72D53"/>
    <w:rsid w:val="7FE7DD64"/>
    <w:rsid w:val="9EEE5119"/>
    <w:rsid w:val="AD6E160A"/>
    <w:rsid w:val="AFEFEA03"/>
    <w:rsid w:val="BD7FD4DE"/>
    <w:rsid w:val="F3BC04B9"/>
    <w:rsid w:val="FEFF5AE1"/>
    <w:rsid w:val="FFD71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link w:val="8"/>
    <w:qFormat/>
    <w:uiPriority w:val="0"/>
    <w:pPr>
      <w:widowControl/>
      <w:snapToGrid w:val="0"/>
      <w:spacing w:line="300" w:lineRule="auto"/>
      <w:ind w:firstLine="567"/>
    </w:pPr>
    <w:rPr>
      <w:rFonts w:ascii="仿宋_GB2312" w:hAnsiTheme="minorHAnsi" w:cstheme="minorBidi"/>
      <w:sz w:val="30"/>
      <w:szCs w:val="22"/>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正文文本缩进 字符"/>
    <w:basedOn w:val="7"/>
    <w:link w:val="3"/>
    <w:qFormat/>
    <w:uiPriority w:val="0"/>
    <w:rPr>
      <w:rFonts w:ascii="仿宋_GB2312" w:eastAsia="仿宋_GB2312"/>
      <w:sz w:val="30"/>
    </w:rPr>
  </w:style>
  <w:style w:type="paragraph" w:customStyle="1" w:styleId="9">
    <w:name w:val="Revision"/>
    <w:hidden/>
    <w:semiHidden/>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Pages>
  <Words>928</Words>
  <Characters>5295</Characters>
  <Lines>44</Lines>
  <Paragraphs>12</Paragraphs>
  <TotalTime>29</TotalTime>
  <ScaleCrop>false</ScaleCrop>
  <LinksUpToDate>false</LinksUpToDate>
  <CharactersWithSpaces>6211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2022-06-16T18:53:00Z</dcterms:created>
  <dc:creator>梅亚雷</dc:creator>
  <cp:lastModifiedBy>meiyl</cp:lastModifiedBy>
  <cp:lastPrinted>2022-09-02T16:15:00Z</cp:lastPrinted>
  <dcterms:modified xsi:type="dcterms:W3CDTF">2022-12-28T09:09:27Z</dcterms:modified>
  <dc:title>证券期货科学技术奖励管理办法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D93CCBF10C2E48CABE4A42E02FF12E39</vt:lpwstr>
  </property>
</Properties>
</file>