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56"/>
        <w:tblW w:w="90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7492"/>
        <w:gridCol w:w="999"/>
      </w:tblGrid>
      <w:tr w:rsidR="0019314A" w:rsidRPr="005E3DE8" w:rsidTr="0019314A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4"/>
              </w:rPr>
              <w:t>课程表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4"/>
              </w:rPr>
              <w:t>序号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4"/>
              </w:rPr>
              <w:t>课程名称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4"/>
              </w:rPr>
              <w:t>课时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6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基金行业行政处罚典型案例与最新进展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7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对赌协议的司法裁判路径——从“海富案”</w:t>
              </w:r>
              <w:r w:rsidR="0019314A" w:rsidRPr="005E3DE8">
                <w:rPr>
                  <w:rFonts w:ascii="Calibri" w:eastAsia="仿宋" w:hAnsi="Calibri" w:cs="Calibri"/>
                  <w:color w:val="0778C3"/>
                  <w:kern w:val="0"/>
                  <w:sz w:val="28"/>
                  <w:szCs w:val="24"/>
                  <w:u w:val="single"/>
                </w:rPr>
                <w:t> </w:t>
              </w:r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到“九民纪要”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4.5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3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8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私募基金管理人的资质及登记制度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1.5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4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9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《私募投资基金备案须知（2019版）》相关问题解读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公开课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5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10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私募基金信息披露备份系统定向披露功能介绍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公开课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6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11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全国股转系统股票交易规则与投资者适当性制度解读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7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12" w:tgtFrame="_blank" w:history="1">
              <w:r w:rsidR="0019314A" w:rsidRPr="005E3DE8">
                <w:rPr>
                  <w:rStyle w:val="a3"/>
                  <w:rFonts w:ascii="仿宋" w:eastAsia="仿宋" w:hAnsi="仿宋" w:hint="eastAsia"/>
                  <w:color w:val="0778C3"/>
                  <w:sz w:val="28"/>
                  <w:szCs w:val="24"/>
                  <w:shd w:val="clear" w:color="auto" w:fill="FFFFFF"/>
                </w:rPr>
                <w:t>全国股转系统股票交易监管制度解读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0.5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8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13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全面深化新三板改革方案及《非上市公众公司监督管理办法》修改情况介绍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公开课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9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14" w:tgtFrame="_blank" w:history="1">
              <w:r w:rsidR="0019314A" w:rsidRPr="005E3DE8">
                <w:rPr>
                  <w:rStyle w:val="a3"/>
                  <w:rFonts w:ascii="仿宋" w:eastAsia="仿宋" w:hAnsi="仿宋" w:hint="eastAsia"/>
                  <w:color w:val="0778C3"/>
                  <w:sz w:val="28"/>
                  <w:szCs w:val="24"/>
                  <w:shd w:val="clear" w:color="auto" w:fill="FFFFFF"/>
                </w:rPr>
                <w:t>《非上市公众公司信息披露管理办法》解读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公开课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10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15" w:tgtFrame="_blank" w:history="1">
              <w:r w:rsidR="0019314A" w:rsidRPr="005E3DE8">
                <w:rPr>
                  <w:rStyle w:val="a3"/>
                  <w:rFonts w:ascii="仿宋" w:eastAsia="仿宋" w:hAnsi="仿宋" w:hint="eastAsia"/>
                  <w:color w:val="0778C3"/>
                  <w:sz w:val="28"/>
                  <w:szCs w:val="24"/>
                  <w:shd w:val="clear" w:color="auto" w:fill="FFFFFF"/>
                </w:rPr>
                <w:t>《全国中小企业股份转让系统挂牌公司信息披露规则》解读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11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16" w:tgtFrame="_blank" w:history="1">
              <w:r w:rsidR="0019314A" w:rsidRPr="005E3DE8">
                <w:rPr>
                  <w:rStyle w:val="a3"/>
                  <w:rFonts w:ascii="仿宋" w:eastAsia="仿宋" w:hAnsi="仿宋" w:hint="eastAsia"/>
                  <w:color w:val="0778C3"/>
                  <w:sz w:val="28"/>
                  <w:szCs w:val="24"/>
                  <w:shd w:val="clear" w:color="auto" w:fill="FFFFFF"/>
                </w:rPr>
                <w:t>《全国中小企业股份转让系统挂牌公司治理规则》解读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0.5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12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17" w:tgtFrame="_blank" w:history="1">
              <w:r w:rsidR="0019314A" w:rsidRPr="005E3DE8">
                <w:rPr>
                  <w:rStyle w:val="a3"/>
                  <w:rFonts w:ascii="仿宋" w:eastAsia="仿宋" w:hAnsi="仿宋" w:hint="eastAsia"/>
                  <w:color w:val="0778C3"/>
                  <w:sz w:val="28"/>
                  <w:szCs w:val="24"/>
                  <w:shd w:val="clear" w:color="auto" w:fill="FFFFFF"/>
                </w:rPr>
                <w:t>《全国中小企业股份转让系统分层管理办法》解读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13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18" w:tgtFrame="_blank" w:history="1">
              <w:r w:rsidR="0019314A" w:rsidRPr="005E3DE8">
                <w:rPr>
                  <w:rStyle w:val="a3"/>
                  <w:rFonts w:ascii="仿宋" w:eastAsia="仿宋" w:hAnsi="仿宋" w:hint="eastAsia"/>
                  <w:color w:val="0778C3"/>
                  <w:sz w:val="28"/>
                  <w:szCs w:val="24"/>
                  <w:shd w:val="clear" w:color="auto" w:fill="FFFFFF"/>
                </w:rPr>
                <w:t>全国股转系统公开发行承销相关规则解读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14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19" w:tgtFrame="_blank" w:history="1">
              <w:r w:rsidR="0019314A" w:rsidRPr="005E3DE8">
                <w:rPr>
                  <w:rStyle w:val="a3"/>
                  <w:rFonts w:ascii="仿宋" w:eastAsia="仿宋" w:hAnsi="仿宋" w:hint="eastAsia"/>
                  <w:color w:val="0778C3"/>
                  <w:sz w:val="28"/>
                  <w:szCs w:val="24"/>
                  <w:shd w:val="clear" w:color="auto" w:fill="FFFFFF"/>
                </w:rPr>
                <w:t>全国中小企业股份转让系统股票定向发行制度解读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15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20" w:tgtFrame="_blank" w:history="1">
              <w:r w:rsidR="0019314A" w:rsidRPr="005E3DE8">
                <w:rPr>
                  <w:rStyle w:val="a3"/>
                  <w:rFonts w:ascii="仿宋" w:eastAsia="仿宋" w:hAnsi="仿宋" w:hint="eastAsia"/>
                  <w:color w:val="0778C3"/>
                  <w:sz w:val="28"/>
                  <w:szCs w:val="24"/>
                  <w:shd w:val="clear" w:color="auto" w:fill="FFFFFF"/>
                </w:rPr>
                <w:t>全国股转系统公开发行并进入精选层相关规则解读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16</w:t>
            </w:r>
          </w:p>
        </w:tc>
        <w:tc>
          <w:tcPr>
            <w:tcW w:w="7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21" w:tgtFrame="_blank" w:history="1">
              <w:r w:rsidR="0019314A" w:rsidRPr="005E3DE8">
                <w:rPr>
                  <w:rStyle w:val="a3"/>
                  <w:rFonts w:ascii="仿宋" w:eastAsia="仿宋" w:hAnsi="仿宋" w:hint="eastAsia"/>
                  <w:color w:val="0778C3"/>
                  <w:sz w:val="28"/>
                  <w:szCs w:val="24"/>
                  <w:shd w:val="clear" w:color="auto" w:fill="FFFFFF"/>
                </w:rPr>
                <w:t>全国股转系统保荐业务管理细则解读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lastRenderedPageBreak/>
              <w:t>17</w:t>
            </w:r>
          </w:p>
        </w:tc>
        <w:tc>
          <w:tcPr>
            <w:tcW w:w="74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22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《科创板股票交易特别规定》及配套指引解读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18</w:t>
            </w:r>
          </w:p>
        </w:tc>
        <w:tc>
          <w:tcPr>
            <w:tcW w:w="74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23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科创板转融通证券出借与转融券业务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0.5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19</w:t>
            </w:r>
          </w:p>
        </w:tc>
        <w:tc>
          <w:tcPr>
            <w:tcW w:w="74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24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境外基金法律架构、监管及热点问题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20</w:t>
            </w:r>
          </w:p>
        </w:tc>
        <w:tc>
          <w:tcPr>
            <w:tcW w:w="74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25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信用债投资风险管理及机构内部评级体系建设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1.5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21</w:t>
            </w:r>
          </w:p>
        </w:tc>
        <w:tc>
          <w:tcPr>
            <w:tcW w:w="74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26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摊余成本法浮动净值定开债基核算披露要点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1.5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22</w:t>
            </w:r>
          </w:p>
        </w:tc>
        <w:tc>
          <w:tcPr>
            <w:tcW w:w="74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27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加拿大养老金CPPIB及大型机构投资者运作模式分析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23</w:t>
            </w:r>
          </w:p>
        </w:tc>
        <w:tc>
          <w:tcPr>
            <w:tcW w:w="74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28" w:tgtFrame="_blank" w:history="1">
              <w:r w:rsidR="0019314A" w:rsidRPr="005E3DE8">
                <w:rPr>
                  <w:rFonts w:ascii="仿宋" w:eastAsia="仿宋" w:hAnsi="仿宋" w:cs="宋体" w:hint="eastAsia"/>
                  <w:color w:val="0778C3"/>
                  <w:kern w:val="0"/>
                  <w:sz w:val="28"/>
                  <w:szCs w:val="24"/>
                  <w:u w:val="single"/>
                </w:rPr>
                <w:t>指数化投资产品发展新形势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19314A" w:rsidRPr="005E3DE8" w:rsidTr="00193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5E3DE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24</w:t>
            </w:r>
          </w:p>
        </w:tc>
        <w:tc>
          <w:tcPr>
            <w:tcW w:w="74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634934" w:rsidP="001931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hyperlink r:id="rId29" w:tgtFrame="_blank" w:history="1">
              <w:r w:rsidR="0019314A" w:rsidRPr="005E3DE8">
                <w:rPr>
                  <w:rStyle w:val="a3"/>
                  <w:rFonts w:ascii="仿宋" w:eastAsia="仿宋" w:hAnsi="仿宋" w:hint="eastAsia"/>
                  <w:color w:val="0778C3"/>
                  <w:sz w:val="28"/>
                  <w:szCs w:val="24"/>
                  <w:shd w:val="clear" w:color="auto" w:fill="FFFFFF"/>
                </w:rPr>
                <w:t>中国资管机构如何践行ESG投资</w:t>
              </w:r>
            </w:hyperlink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9314A" w:rsidRPr="005E3DE8" w:rsidRDefault="0019314A" w:rsidP="001931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</w:tbl>
    <w:p w:rsidR="00515ED7" w:rsidRDefault="00515ED7" w:rsidP="0019314A">
      <w:pPr>
        <w:ind w:right="884"/>
        <w:rPr>
          <w:rFonts w:ascii="仿宋" w:eastAsia="仿宋" w:hAnsi="仿宋"/>
          <w:sz w:val="32"/>
          <w:szCs w:val="32"/>
        </w:rPr>
      </w:pPr>
    </w:p>
    <w:p w:rsidR="00BC4414" w:rsidRPr="009269C9" w:rsidRDefault="00BC4414" w:rsidP="00143707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  <w:sectPr w:rsidR="00BC4414" w:rsidRPr="009269C9" w:rsidSect="0045609F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C4414" w:rsidRDefault="00BC4414"/>
    <w:sectPr w:rsidR="00BC4414" w:rsidSect="00E56153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34" w:rsidRDefault="00634934" w:rsidP="002716BD">
      <w:r>
        <w:separator/>
      </w:r>
    </w:p>
  </w:endnote>
  <w:endnote w:type="continuationSeparator" w:id="0">
    <w:p w:rsidR="00634934" w:rsidRDefault="00634934" w:rsidP="0027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34" w:rsidRDefault="00634934" w:rsidP="002716BD">
      <w:r>
        <w:separator/>
      </w:r>
    </w:p>
  </w:footnote>
  <w:footnote w:type="continuationSeparator" w:id="0">
    <w:p w:rsidR="00634934" w:rsidRDefault="00634934" w:rsidP="0027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C0"/>
    <w:rsid w:val="00075B0D"/>
    <w:rsid w:val="000F4E61"/>
    <w:rsid w:val="00143707"/>
    <w:rsid w:val="0019314A"/>
    <w:rsid w:val="001E22B3"/>
    <w:rsid w:val="00256E04"/>
    <w:rsid w:val="00265BC0"/>
    <w:rsid w:val="002716BD"/>
    <w:rsid w:val="0032634C"/>
    <w:rsid w:val="0037718A"/>
    <w:rsid w:val="0043420A"/>
    <w:rsid w:val="0045609F"/>
    <w:rsid w:val="005156AA"/>
    <w:rsid w:val="00515ED7"/>
    <w:rsid w:val="0052248F"/>
    <w:rsid w:val="00565113"/>
    <w:rsid w:val="005D34AD"/>
    <w:rsid w:val="005E3DE8"/>
    <w:rsid w:val="00634934"/>
    <w:rsid w:val="00676563"/>
    <w:rsid w:val="0068747C"/>
    <w:rsid w:val="00703F54"/>
    <w:rsid w:val="00735718"/>
    <w:rsid w:val="007D2A12"/>
    <w:rsid w:val="008872E0"/>
    <w:rsid w:val="008D3421"/>
    <w:rsid w:val="00905E9F"/>
    <w:rsid w:val="0091009D"/>
    <w:rsid w:val="009269C9"/>
    <w:rsid w:val="00932997"/>
    <w:rsid w:val="009413E2"/>
    <w:rsid w:val="00972A08"/>
    <w:rsid w:val="00A90E2E"/>
    <w:rsid w:val="00B91056"/>
    <w:rsid w:val="00BC4414"/>
    <w:rsid w:val="00BE048F"/>
    <w:rsid w:val="00C30358"/>
    <w:rsid w:val="00C51C9B"/>
    <w:rsid w:val="00C93B6D"/>
    <w:rsid w:val="00D978F1"/>
    <w:rsid w:val="00DF221B"/>
    <w:rsid w:val="00E10088"/>
    <w:rsid w:val="00E56153"/>
    <w:rsid w:val="00F42DB3"/>
    <w:rsid w:val="00FD56FE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528DB6-C95C-4D58-A764-5C223CD5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B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1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16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1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1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ixun.amac.org.cn/index.php?a=classIntro&amp;m=Index&amp;cid=175" TargetMode="External"/><Relationship Id="rId13" Type="http://schemas.openxmlformats.org/officeDocument/2006/relationships/hyperlink" Target="https://peixun.amac.org.cn/index.php?a=classIntro&amp;m=Index&amp;cid=193" TargetMode="External"/><Relationship Id="rId18" Type="http://schemas.openxmlformats.org/officeDocument/2006/relationships/hyperlink" Target="https://peixun.amac.org.cn/index.php?a=classIntro&amp;m=Index&amp;cid=198" TargetMode="External"/><Relationship Id="rId26" Type="http://schemas.openxmlformats.org/officeDocument/2006/relationships/hyperlink" Target="https://peixun.amac.org.cn/index.php?a=classIntro&amp;m=Index&amp;cid=1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eixun.amac.org.cn/index.php?a=classIntro&amp;m=Index&amp;cid=199" TargetMode="External"/><Relationship Id="rId7" Type="http://schemas.openxmlformats.org/officeDocument/2006/relationships/hyperlink" Target="https://peixun.amac.org.cn/index.php?a=classIntro&amp;m=Index&amp;cid=180" TargetMode="External"/><Relationship Id="rId12" Type="http://schemas.openxmlformats.org/officeDocument/2006/relationships/hyperlink" Target="https://peixun.amac.org.cn/index.php?a=classIntro&amp;m=Index&amp;cid=191" TargetMode="External"/><Relationship Id="rId17" Type="http://schemas.openxmlformats.org/officeDocument/2006/relationships/hyperlink" Target="https://peixun.amac.org.cn/index.php?a=classIntro&amp;m=Index&amp;cid=196" TargetMode="External"/><Relationship Id="rId25" Type="http://schemas.openxmlformats.org/officeDocument/2006/relationships/hyperlink" Target="https://peixun.amac.org.cn/index.php?a=classIntro&amp;m=Index&amp;cid=1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ixun.amac.org.cn/index.php?a=classIntro&amp;m=Index&amp;cid=195" TargetMode="External"/><Relationship Id="rId20" Type="http://schemas.openxmlformats.org/officeDocument/2006/relationships/hyperlink" Target="https://peixun.amac.org.cn/index.php?a=classIntro&amp;m=Index&amp;cid=201" TargetMode="External"/><Relationship Id="rId29" Type="http://schemas.openxmlformats.org/officeDocument/2006/relationships/hyperlink" Target="https://peixun.amac.org.cn/index.php?a=classIntro&amp;m=Index&amp;cid=194" TargetMode="External"/><Relationship Id="rId1" Type="http://schemas.openxmlformats.org/officeDocument/2006/relationships/styles" Target="styles.xml"/><Relationship Id="rId6" Type="http://schemas.openxmlformats.org/officeDocument/2006/relationships/hyperlink" Target="https://peixun.amac.org.cn/index.php?a=classIntro&amp;m=Index&amp;cid=172" TargetMode="External"/><Relationship Id="rId11" Type="http://schemas.openxmlformats.org/officeDocument/2006/relationships/hyperlink" Target="https://peixun.amac.org.cn/index.php?a=classIntro&amp;m=Index&amp;cid=190" TargetMode="External"/><Relationship Id="rId24" Type="http://schemas.openxmlformats.org/officeDocument/2006/relationships/hyperlink" Target="https://peixun.amac.org.cn/index.php?a=classIntro&amp;m=Index&amp;cid=18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eixun.amac.org.cn/index.php?a=classIntro&amp;m=Index&amp;cid=192" TargetMode="External"/><Relationship Id="rId23" Type="http://schemas.openxmlformats.org/officeDocument/2006/relationships/hyperlink" Target="https://peixun.amac.org.cn/index.php?a=classIntro&amp;m=Index&amp;cid=174" TargetMode="External"/><Relationship Id="rId28" Type="http://schemas.openxmlformats.org/officeDocument/2006/relationships/hyperlink" Target="https://peixun.amac.org.cn/index.php?a=classIntro&amp;m=Index&amp;cid=184" TargetMode="External"/><Relationship Id="rId10" Type="http://schemas.openxmlformats.org/officeDocument/2006/relationships/hyperlink" Target="https://peixun.amac.org.cn/index.php?a=classIntro&amp;m=Index&amp;cid=181" TargetMode="External"/><Relationship Id="rId19" Type="http://schemas.openxmlformats.org/officeDocument/2006/relationships/hyperlink" Target="https://peixun.amac.org.cn/index.php?a=classIntro&amp;m=Index&amp;cid=200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eixun.amac.org.cn/index.php?a=classIntro&amp;m=Index&amp;cid=179" TargetMode="External"/><Relationship Id="rId14" Type="http://schemas.openxmlformats.org/officeDocument/2006/relationships/hyperlink" Target="https://peixun.amac.org.cn/index.php?a=classIntro&amp;m=Index&amp;cid=197" TargetMode="External"/><Relationship Id="rId22" Type="http://schemas.openxmlformats.org/officeDocument/2006/relationships/hyperlink" Target="https://peixun.amac.org.cn/index.php?a=classIntro&amp;m=Index&amp;cid=173" TargetMode="External"/><Relationship Id="rId27" Type="http://schemas.openxmlformats.org/officeDocument/2006/relationships/hyperlink" Target="https://peixun.amac.org.cn/index.php?a=classIntro&amp;m=Index&amp;cid=18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玢琦</dc:creator>
  <cp:lastModifiedBy>肖明岳</cp:lastModifiedBy>
  <cp:revision>2</cp:revision>
  <dcterms:created xsi:type="dcterms:W3CDTF">2020-06-19T04:45:00Z</dcterms:created>
  <dcterms:modified xsi:type="dcterms:W3CDTF">2020-06-19T04:45:00Z</dcterms:modified>
</cp:coreProperties>
</file>