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7" w:rsidRDefault="002554B7" w:rsidP="005F0584">
      <w:pPr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基金行业养老金业务发展总体情况</w:t>
      </w:r>
      <w:r w:rsidRPr="002554B7">
        <w:rPr>
          <w:rFonts w:ascii="宋体" w:eastAsia="宋体" w:hAnsi="宋体" w:hint="eastAsia"/>
          <w:b/>
          <w:sz w:val="44"/>
          <w:szCs w:val="44"/>
        </w:rPr>
        <w:t>概要</w:t>
      </w:r>
    </w:p>
    <w:p w:rsidR="005F0584" w:rsidRPr="0058780B" w:rsidRDefault="00EB34CE" w:rsidP="005F0584">
      <w:pPr>
        <w:spacing w:line="540" w:lineRule="exact"/>
        <w:jc w:val="center"/>
        <w:rPr>
          <w:rFonts w:ascii="Times New Roman" w:eastAsia="仿宋" w:hAnsi="Times New Roman"/>
          <w:sz w:val="32"/>
        </w:rPr>
      </w:pPr>
      <w:r>
        <w:rPr>
          <w:rFonts w:ascii="宋体" w:eastAsia="宋体" w:hAnsi="宋体" w:hint="eastAsia"/>
          <w:b/>
          <w:sz w:val="44"/>
          <w:szCs w:val="44"/>
        </w:rPr>
        <w:t>（</w:t>
      </w:r>
      <w:r w:rsidRPr="0058780B">
        <w:rPr>
          <w:rFonts w:ascii="宋体" w:eastAsia="宋体" w:hAnsi="宋体" w:hint="eastAsia"/>
          <w:b/>
          <w:sz w:val="44"/>
          <w:szCs w:val="44"/>
        </w:rPr>
        <w:t>2018年度</w:t>
      </w:r>
      <w:r>
        <w:rPr>
          <w:rFonts w:ascii="宋体" w:eastAsia="宋体" w:hAnsi="宋体" w:hint="eastAsia"/>
          <w:b/>
          <w:sz w:val="44"/>
          <w:szCs w:val="44"/>
        </w:rPr>
        <w:t>）</w:t>
      </w:r>
    </w:p>
    <w:p w:rsidR="005F0584" w:rsidRDefault="005F0584" w:rsidP="005F0584">
      <w:pPr>
        <w:spacing w:line="540" w:lineRule="exact"/>
        <w:rPr>
          <w:rFonts w:ascii="仿宋" w:eastAsia="仿宋" w:hAnsi="仿宋"/>
          <w:sz w:val="32"/>
        </w:rPr>
      </w:pPr>
    </w:p>
    <w:p w:rsidR="005F0584" w:rsidRDefault="00233412" w:rsidP="005F0584">
      <w:pPr>
        <w:spacing w:line="540" w:lineRule="exact"/>
        <w:ind w:firstLine="645"/>
        <w:rPr>
          <w:rFonts w:ascii="仿宋" w:eastAsia="仿宋" w:hAnsi="仿宋"/>
          <w:sz w:val="32"/>
        </w:rPr>
      </w:pPr>
      <w:r w:rsidRPr="00233412">
        <w:rPr>
          <w:rFonts w:ascii="仿宋" w:eastAsia="仿宋" w:hAnsi="仿宋" w:hint="eastAsia"/>
          <w:sz w:val="32"/>
        </w:rPr>
        <w:t>随着中国老龄化进程的加快和多层次养老保障体系的不断完善，养老金成为资本市场日益重要的机构投资者。我国养老金资产包括全国社会保障基金理事会受托管理的社保基金、基本养老保险基金，人力资源和社会保障</w:t>
      </w:r>
      <w:proofErr w:type="gramStart"/>
      <w:r w:rsidRPr="00233412">
        <w:rPr>
          <w:rFonts w:ascii="仿宋" w:eastAsia="仿宋" w:hAnsi="仿宋" w:hint="eastAsia"/>
          <w:sz w:val="32"/>
        </w:rPr>
        <w:t>部监督</w:t>
      </w:r>
      <w:proofErr w:type="gramEnd"/>
      <w:r w:rsidRPr="00233412">
        <w:rPr>
          <w:rFonts w:ascii="仿宋" w:eastAsia="仿宋" w:hAnsi="仿宋" w:hint="eastAsia"/>
          <w:sz w:val="32"/>
        </w:rPr>
        <w:t>管理的企业年金和职业年金以及第三支柱个人养老金。个人养老金制度正处在顶层设计阶段，</w:t>
      </w:r>
      <w:r w:rsidRPr="00233412">
        <w:rPr>
          <w:rFonts w:ascii="仿宋" w:eastAsia="仿宋" w:hAnsi="仿宋"/>
          <w:sz w:val="32"/>
        </w:rPr>
        <w:t>2018年，财政部、税务总局、</w:t>
      </w:r>
      <w:proofErr w:type="gramStart"/>
      <w:r w:rsidRPr="00233412">
        <w:rPr>
          <w:rFonts w:ascii="仿宋" w:eastAsia="仿宋" w:hAnsi="仿宋"/>
          <w:sz w:val="32"/>
        </w:rPr>
        <w:t>人社部</w:t>
      </w:r>
      <w:proofErr w:type="gramEnd"/>
      <w:r w:rsidRPr="00233412">
        <w:rPr>
          <w:rFonts w:ascii="仿宋" w:eastAsia="仿宋" w:hAnsi="仿宋"/>
          <w:sz w:val="32"/>
        </w:rPr>
        <w:t>、银保监会、证监会联合发布《关于开展个人税收递延型商业养老保险试点的通知》（财税〔2018〕22号），作为个人养老金制度的探索和实践。公</w:t>
      </w:r>
      <w:proofErr w:type="gramStart"/>
      <w:r w:rsidRPr="00233412">
        <w:rPr>
          <w:rFonts w:ascii="仿宋" w:eastAsia="仿宋" w:hAnsi="仿宋"/>
          <w:sz w:val="32"/>
        </w:rPr>
        <w:t>募基金</w:t>
      </w:r>
      <w:proofErr w:type="gramEnd"/>
      <w:r w:rsidRPr="00233412">
        <w:rPr>
          <w:rFonts w:ascii="仿宋" w:eastAsia="仿宋" w:hAnsi="仿宋"/>
          <w:sz w:val="32"/>
        </w:rPr>
        <w:t>已经成为我国养老金投资管理的主力军，为养老金资产的保值</w:t>
      </w:r>
      <w:r w:rsidRPr="00233412">
        <w:rPr>
          <w:rFonts w:ascii="仿宋" w:eastAsia="仿宋" w:hAnsi="仿宋" w:hint="eastAsia"/>
          <w:sz w:val="32"/>
        </w:rPr>
        <w:t>增值发挥着重要作用。在</w:t>
      </w:r>
      <w:r w:rsidRPr="00233412">
        <w:rPr>
          <w:rFonts w:ascii="仿宋" w:eastAsia="仿宋" w:hAnsi="仿宋"/>
          <w:sz w:val="32"/>
        </w:rPr>
        <w:t>18家全国社保基金外部委托的境内投资管理人中，基金管理公司占据了16席；在21家基本养老保险基金证券投资管理机构中，基金管理公司14席；2018年企业年金和职业年金投资管理人新增新华养老，投管人数量增至22家，基金管理公司占据了11席。按照财税〔2018〕22号文件对试点期间做好基金</w:t>
      </w:r>
      <w:proofErr w:type="gramStart"/>
      <w:r w:rsidRPr="00233412">
        <w:rPr>
          <w:rFonts w:ascii="仿宋" w:eastAsia="仿宋" w:hAnsi="仿宋"/>
          <w:sz w:val="32"/>
        </w:rPr>
        <w:t>纳入税延</w:t>
      </w:r>
      <w:proofErr w:type="gramEnd"/>
      <w:r w:rsidRPr="00233412">
        <w:rPr>
          <w:rFonts w:ascii="仿宋" w:eastAsia="仿宋" w:hAnsi="仿宋"/>
          <w:sz w:val="32"/>
        </w:rPr>
        <w:t>养老政策准备工作的有关要求，证监会指导基金行业开发了养老目标基金。截至2018年底，基金管理公司管理境内、外养老金资产合计1.68</w:t>
      </w:r>
      <w:proofErr w:type="gramStart"/>
      <w:r w:rsidRPr="00233412">
        <w:rPr>
          <w:rFonts w:ascii="仿宋" w:eastAsia="仿宋" w:hAnsi="仿宋"/>
          <w:sz w:val="32"/>
        </w:rPr>
        <w:t>万亿</w:t>
      </w:r>
      <w:proofErr w:type="gramEnd"/>
      <w:r w:rsidRPr="00233412">
        <w:rPr>
          <w:rFonts w:ascii="仿宋" w:eastAsia="仿宋" w:hAnsi="仿宋"/>
          <w:sz w:val="32"/>
        </w:rPr>
        <w:t>元。</w:t>
      </w:r>
    </w:p>
    <w:p w:rsidR="00233412" w:rsidRPr="00233412" w:rsidRDefault="00233412" w:rsidP="00233412">
      <w:pPr>
        <w:spacing w:line="540" w:lineRule="exact"/>
        <w:ind w:firstLine="645"/>
        <w:rPr>
          <w:rFonts w:ascii="仿宋" w:eastAsia="仿宋" w:hAnsi="仿宋"/>
          <w:sz w:val="32"/>
        </w:rPr>
      </w:pPr>
      <w:r w:rsidRPr="00233412">
        <w:rPr>
          <w:rFonts w:ascii="仿宋" w:eastAsia="仿宋" w:hAnsi="仿宋" w:hint="eastAsia"/>
          <w:sz w:val="32"/>
        </w:rPr>
        <w:t>截至</w:t>
      </w:r>
      <w:r w:rsidRPr="00233412">
        <w:rPr>
          <w:rFonts w:ascii="仿宋" w:eastAsia="仿宋" w:hAnsi="仿宋"/>
          <w:sz w:val="32"/>
        </w:rPr>
        <w:t>2018年底，全国社会保障基金理事会管理的基金资产总额达到29632.5亿元。自2018年起，全国社会保障基金理事会委托投资分为社保基金（包括全国社保基金、个人账户基金</w:t>
      </w:r>
      <w:r w:rsidRPr="00233412">
        <w:rPr>
          <w:rFonts w:ascii="仿宋" w:eastAsia="仿宋" w:hAnsi="仿宋"/>
          <w:sz w:val="32"/>
        </w:rPr>
        <w:lastRenderedPageBreak/>
        <w:t>和地方委托资金）和基本养老保险基金，分别披露年报。截止2018年底，基金管理公司管理社保基金8853亿元，管理基本养老保险基金2713亿元，合计11566亿元。在基本养老保险基金方面，累计已有17个省区市委</w:t>
      </w:r>
      <w:proofErr w:type="gramStart"/>
      <w:r w:rsidRPr="00233412">
        <w:rPr>
          <w:rFonts w:ascii="仿宋" w:eastAsia="仿宋" w:hAnsi="仿宋"/>
          <w:sz w:val="32"/>
        </w:rPr>
        <w:t>托投资</w:t>
      </w:r>
      <w:proofErr w:type="gramEnd"/>
      <w:r w:rsidRPr="00233412">
        <w:rPr>
          <w:rFonts w:ascii="仿宋" w:eastAsia="仿宋" w:hAnsi="仿宋"/>
          <w:sz w:val="32"/>
        </w:rPr>
        <w:t>基本养老保险基金8580亿元，到账资金达到6050亿元，相比2017年末增加了3319亿元。</w:t>
      </w:r>
    </w:p>
    <w:p w:rsidR="00233412" w:rsidRPr="00233412" w:rsidRDefault="00233412" w:rsidP="00233412">
      <w:pPr>
        <w:spacing w:line="540" w:lineRule="exact"/>
        <w:ind w:firstLine="645"/>
        <w:rPr>
          <w:rFonts w:ascii="仿宋" w:eastAsia="仿宋" w:hAnsi="仿宋"/>
          <w:sz w:val="32"/>
        </w:rPr>
      </w:pPr>
      <w:r w:rsidRPr="00233412">
        <w:rPr>
          <w:rFonts w:ascii="仿宋" w:eastAsia="仿宋" w:hAnsi="仿宋" w:hint="eastAsia"/>
          <w:sz w:val="32"/>
        </w:rPr>
        <w:t>截至</w:t>
      </w:r>
      <w:r w:rsidRPr="00233412">
        <w:rPr>
          <w:rFonts w:ascii="仿宋" w:eastAsia="仿宋" w:hAnsi="仿宋"/>
          <w:sz w:val="32"/>
        </w:rPr>
        <w:t>2018年底，企业年金基金规模为14770.4亿元，委托投资管理规模为14230亿元。其中，基金管理公司管理的企业年金规模为5169亿元，占比从2017年底的36.9%下降到36.3%。</w:t>
      </w:r>
    </w:p>
    <w:p w:rsidR="00AD7D20" w:rsidRDefault="00233412" w:rsidP="00AD7D20">
      <w:pPr>
        <w:spacing w:line="540" w:lineRule="exact"/>
        <w:ind w:firstLine="645"/>
        <w:rPr>
          <w:rFonts w:ascii="仿宋" w:eastAsia="仿宋" w:hAnsi="仿宋" w:hint="eastAsia"/>
          <w:sz w:val="32"/>
        </w:rPr>
      </w:pPr>
      <w:r w:rsidRPr="00233412">
        <w:rPr>
          <w:rFonts w:ascii="仿宋" w:eastAsia="仿宋" w:hAnsi="仿宋"/>
          <w:sz w:val="32"/>
        </w:rPr>
        <w:t>2018年，山东省、中央国家机关事业单位、河南省和辽宁省职业年金完成了受托机构的评选，其中，中央国家机关事业单位、新疆维吾尔自治区和山东省还完成了托管人和投资管理人的评选。已完成的机构评选中，托管人涵盖10家银行，投管人包括9家基金管理公司、9家保险公司、2家证券公司和1家养老金管理公司。</w:t>
      </w:r>
    </w:p>
    <w:p w:rsidR="00AD7D20" w:rsidRPr="00AD7D20" w:rsidRDefault="00AD7D20" w:rsidP="00AD7D20">
      <w:pPr>
        <w:spacing w:line="540" w:lineRule="exact"/>
        <w:ind w:firstLine="645"/>
        <w:rPr>
          <w:rFonts w:ascii="黑体" w:eastAsia="黑体" w:hAnsi="黑体"/>
          <w:sz w:val="32"/>
        </w:rPr>
      </w:pPr>
      <w:r w:rsidRPr="00AD7D20">
        <w:rPr>
          <w:rFonts w:ascii="黑体" w:eastAsia="黑体" w:hAnsi="黑体" w:hint="eastAsia"/>
          <w:sz w:val="32"/>
        </w:rPr>
        <w:t>一、管理全国社保基金</w:t>
      </w:r>
    </w:p>
    <w:p w:rsidR="00AD7D20" w:rsidRPr="00AD7D20" w:rsidRDefault="00AD7D20" w:rsidP="00AD7D20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AD7D20">
        <w:rPr>
          <w:rFonts w:ascii="仿宋" w:eastAsia="仿宋" w:hAnsi="仿宋"/>
          <w:sz w:val="32"/>
        </w:rPr>
        <w:t>2018</w:t>
      </w:r>
      <w:r w:rsidRPr="00AD7D20">
        <w:rPr>
          <w:rFonts w:ascii="仿宋" w:eastAsia="仿宋" w:hAnsi="仿宋" w:hint="eastAsia"/>
          <w:sz w:val="32"/>
        </w:rPr>
        <w:t>年，由基金管理公司管理的境内</w:t>
      </w:r>
      <w:proofErr w:type="gramStart"/>
      <w:r w:rsidRPr="00AD7D20">
        <w:rPr>
          <w:rFonts w:ascii="仿宋" w:eastAsia="仿宋" w:hAnsi="仿宋" w:hint="eastAsia"/>
          <w:sz w:val="32"/>
        </w:rPr>
        <w:t>境外全国</w:t>
      </w:r>
      <w:proofErr w:type="gramEnd"/>
      <w:r w:rsidRPr="00AD7D20">
        <w:rPr>
          <w:rFonts w:ascii="仿宋" w:eastAsia="仿宋" w:hAnsi="仿宋" w:hint="eastAsia"/>
          <w:sz w:val="32"/>
        </w:rPr>
        <w:t>社保基金资产规模达11566亿元，较2017年增长16%。</w:t>
      </w:r>
    </w:p>
    <w:p w:rsidR="00AD7D20" w:rsidRPr="00AD7D20" w:rsidRDefault="00AD7D20" w:rsidP="00AD7D20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 w:rsidRPr="00AD7D20">
        <w:rPr>
          <w:rFonts w:ascii="仿宋" w:eastAsia="仿宋" w:hAnsi="仿宋" w:hint="eastAsia"/>
          <w:sz w:val="32"/>
        </w:rPr>
        <w:t>2011年以来，由基金管理公司管理的全国社保基金规模稳步增长，2017年底已占到全国社保基金总规模的44.9%，占全国社保基金委</w:t>
      </w:r>
      <w:proofErr w:type="gramStart"/>
      <w:r w:rsidRPr="00AD7D20">
        <w:rPr>
          <w:rFonts w:ascii="仿宋" w:eastAsia="仿宋" w:hAnsi="仿宋" w:hint="eastAsia"/>
          <w:sz w:val="32"/>
        </w:rPr>
        <w:t>托投资</w:t>
      </w:r>
      <w:proofErr w:type="gramEnd"/>
      <w:r w:rsidRPr="00AD7D20">
        <w:rPr>
          <w:rFonts w:ascii="仿宋" w:eastAsia="仿宋" w:hAnsi="仿宋" w:hint="eastAsia"/>
          <w:sz w:val="32"/>
        </w:rPr>
        <w:t>规模的77.8%。近年来，在国内外经济形势不断变化和对外开放稳步推进的背景下，全国社保基金</w:t>
      </w:r>
      <w:r w:rsidRPr="00AD7D20">
        <w:rPr>
          <w:rFonts w:ascii="仿宋" w:eastAsia="仿宋" w:hAnsi="仿宋"/>
          <w:sz w:val="32"/>
        </w:rPr>
        <w:t>境外投资资产规模</w:t>
      </w:r>
      <w:r w:rsidRPr="00AD7D20">
        <w:rPr>
          <w:rFonts w:ascii="仿宋" w:eastAsia="仿宋" w:hAnsi="仿宋" w:hint="eastAsia"/>
          <w:sz w:val="32"/>
        </w:rPr>
        <w:t>增幅明显，且已披露的</w:t>
      </w:r>
      <w:r w:rsidRPr="00AD7D20">
        <w:rPr>
          <w:rFonts w:ascii="仿宋" w:eastAsia="仿宋" w:hAnsi="仿宋"/>
          <w:sz w:val="32"/>
        </w:rPr>
        <w:t>37</w:t>
      </w:r>
      <w:r w:rsidRPr="00AD7D20">
        <w:rPr>
          <w:rFonts w:ascii="仿宋" w:eastAsia="仿宋" w:hAnsi="仿宋" w:hint="eastAsia"/>
          <w:sz w:val="32"/>
        </w:rPr>
        <w:t>家</w:t>
      </w:r>
      <w:r w:rsidRPr="00AD7D20">
        <w:rPr>
          <w:rFonts w:ascii="仿宋" w:eastAsia="仿宋" w:hAnsi="仿宋"/>
          <w:sz w:val="32"/>
        </w:rPr>
        <w:t>境外投资管理人中</w:t>
      </w:r>
      <w:r w:rsidRPr="00AD7D20">
        <w:rPr>
          <w:rFonts w:ascii="仿宋" w:eastAsia="仿宋" w:hAnsi="仿宋" w:hint="eastAsia"/>
          <w:sz w:val="32"/>
        </w:rPr>
        <w:t>，</w:t>
      </w:r>
      <w:r w:rsidRPr="00AD7D20">
        <w:rPr>
          <w:rFonts w:ascii="仿宋" w:eastAsia="仿宋" w:hAnsi="仿宋"/>
          <w:sz w:val="32"/>
        </w:rPr>
        <w:t>仅</w:t>
      </w:r>
      <w:r w:rsidRPr="00AD7D20">
        <w:rPr>
          <w:rFonts w:ascii="仿宋" w:eastAsia="仿宋" w:hAnsi="仿宋" w:hint="eastAsia"/>
          <w:sz w:val="32"/>
        </w:rPr>
        <w:lastRenderedPageBreak/>
        <w:t>4家为</w:t>
      </w:r>
      <w:r w:rsidRPr="00AD7D20">
        <w:rPr>
          <w:rFonts w:ascii="仿宋" w:eastAsia="仿宋" w:hAnsi="仿宋"/>
          <w:sz w:val="32"/>
        </w:rPr>
        <w:t>境内基金公司</w:t>
      </w:r>
      <w:r w:rsidRPr="00AD7D20">
        <w:rPr>
          <w:rFonts w:ascii="仿宋" w:eastAsia="仿宋" w:hAnsi="仿宋" w:hint="eastAsia"/>
          <w:sz w:val="32"/>
        </w:rPr>
        <w:t>，因此，基金</w:t>
      </w:r>
      <w:r w:rsidRPr="00AD7D20">
        <w:rPr>
          <w:rFonts w:ascii="仿宋" w:eastAsia="仿宋" w:hAnsi="仿宋"/>
          <w:sz w:val="32"/>
        </w:rPr>
        <w:t>公司管理</w:t>
      </w:r>
      <w:r w:rsidRPr="00AD7D20">
        <w:rPr>
          <w:rFonts w:ascii="仿宋" w:eastAsia="仿宋" w:hAnsi="仿宋" w:hint="eastAsia"/>
          <w:sz w:val="32"/>
        </w:rPr>
        <w:t>规模</w:t>
      </w:r>
      <w:r w:rsidRPr="00AD7D20">
        <w:rPr>
          <w:rFonts w:ascii="仿宋" w:eastAsia="仿宋" w:hAnsi="仿宋"/>
          <w:sz w:val="32"/>
        </w:rPr>
        <w:t>与</w:t>
      </w:r>
      <w:r w:rsidRPr="00AD7D20">
        <w:rPr>
          <w:rFonts w:ascii="仿宋" w:eastAsia="仿宋" w:hAnsi="仿宋" w:hint="eastAsia"/>
          <w:sz w:val="32"/>
        </w:rPr>
        <w:t>全国社保基金</w:t>
      </w:r>
      <w:r w:rsidRPr="00AD7D20">
        <w:rPr>
          <w:rFonts w:ascii="仿宋" w:eastAsia="仿宋" w:hAnsi="仿宋"/>
          <w:sz w:val="32"/>
        </w:rPr>
        <w:t>委</w:t>
      </w:r>
      <w:proofErr w:type="gramStart"/>
      <w:r w:rsidRPr="00AD7D20">
        <w:rPr>
          <w:rFonts w:ascii="仿宋" w:eastAsia="仿宋" w:hAnsi="仿宋"/>
          <w:sz w:val="32"/>
        </w:rPr>
        <w:t>托投资</w:t>
      </w:r>
      <w:proofErr w:type="gramEnd"/>
      <w:r w:rsidRPr="00AD7D20">
        <w:rPr>
          <w:rFonts w:ascii="仿宋" w:eastAsia="仿宋" w:hAnsi="仿宋"/>
          <w:sz w:val="32"/>
        </w:rPr>
        <w:t>规模之</w:t>
      </w:r>
      <w:r w:rsidRPr="00AD7D20">
        <w:rPr>
          <w:rFonts w:ascii="仿宋" w:eastAsia="仿宋" w:hAnsi="仿宋" w:hint="eastAsia"/>
          <w:sz w:val="32"/>
        </w:rPr>
        <w:t>比</w:t>
      </w:r>
      <w:r w:rsidRPr="00AD7D20">
        <w:rPr>
          <w:rFonts w:ascii="仿宋" w:eastAsia="仿宋" w:hAnsi="仿宋"/>
          <w:sz w:val="32"/>
        </w:rPr>
        <w:t>逐年</w:t>
      </w:r>
      <w:r w:rsidRPr="00AD7D20">
        <w:rPr>
          <w:rFonts w:ascii="仿宋" w:eastAsia="仿宋" w:hAnsi="仿宋" w:hint="eastAsia"/>
          <w:sz w:val="32"/>
        </w:rPr>
        <w:t>有所</w:t>
      </w:r>
      <w:r w:rsidRPr="00AD7D20">
        <w:rPr>
          <w:rFonts w:ascii="仿宋" w:eastAsia="仿宋" w:hAnsi="仿宋"/>
          <w:sz w:val="32"/>
        </w:rPr>
        <w:t>下降</w:t>
      </w:r>
      <w:r w:rsidRPr="00AD7D20">
        <w:rPr>
          <w:rFonts w:ascii="仿宋" w:eastAsia="仿宋" w:hAnsi="仿宋" w:hint="eastAsia"/>
          <w:sz w:val="32"/>
        </w:rPr>
        <w:t>。（由于</w:t>
      </w:r>
      <w:r>
        <w:rPr>
          <w:rFonts w:ascii="仿宋" w:eastAsia="仿宋" w:hAnsi="仿宋" w:hint="eastAsia"/>
          <w:sz w:val="32"/>
        </w:rPr>
        <w:t>数据核算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时</w:t>
      </w:r>
      <w:r w:rsidRPr="00AD7D20">
        <w:rPr>
          <w:rFonts w:ascii="仿宋" w:eastAsia="仿宋" w:hAnsi="仿宋" w:hint="eastAsia"/>
          <w:sz w:val="32"/>
        </w:rPr>
        <w:t>2018</w:t>
      </w:r>
      <w:r>
        <w:rPr>
          <w:rFonts w:ascii="仿宋" w:eastAsia="仿宋" w:hAnsi="仿宋" w:hint="eastAsia"/>
          <w:sz w:val="32"/>
        </w:rPr>
        <w:t>年度</w:t>
      </w:r>
      <w:r w:rsidRPr="00AD7D20">
        <w:rPr>
          <w:rFonts w:ascii="仿宋" w:eastAsia="仿宋" w:hAnsi="仿宋" w:hint="eastAsia"/>
          <w:sz w:val="32"/>
        </w:rPr>
        <w:t>全国社会保障基金理事会社保基金年度报告暂未披露，本段及下述文字内容、附属图表沿用2017年年报数据）</w:t>
      </w:r>
    </w:p>
    <w:p w:rsidR="00AD7D20" w:rsidRPr="00984964" w:rsidRDefault="00AD7D20" w:rsidP="00AD7D20">
      <w:pPr>
        <w:jc w:val="center"/>
        <w:rPr>
          <w:rFonts w:ascii="楷体" w:eastAsia="楷体" w:hAnsi="楷体"/>
          <w:szCs w:val="21"/>
        </w:rPr>
      </w:pPr>
      <w:r w:rsidRPr="00984964">
        <w:rPr>
          <w:rFonts w:ascii="楷体" w:eastAsia="楷体" w:hAnsi="楷体" w:hint="eastAsia"/>
          <w:szCs w:val="21"/>
        </w:rPr>
        <w:t>图</w:t>
      </w:r>
      <w:r>
        <w:rPr>
          <w:rFonts w:ascii="楷体" w:eastAsia="楷体" w:hAnsi="楷体" w:hint="eastAsia"/>
          <w:szCs w:val="21"/>
        </w:rPr>
        <w:t>表</w:t>
      </w:r>
      <w:r w:rsidRPr="00984964">
        <w:rPr>
          <w:rFonts w:ascii="楷体" w:eastAsia="楷体" w:hAnsi="楷体" w:hint="eastAsia"/>
          <w:szCs w:val="21"/>
        </w:rPr>
        <w:t>1</w:t>
      </w:r>
      <w:r w:rsidRPr="00984964">
        <w:rPr>
          <w:rFonts w:ascii="楷体" w:eastAsia="楷体" w:hAnsi="楷体"/>
          <w:szCs w:val="21"/>
        </w:rPr>
        <w:t xml:space="preserve"> </w:t>
      </w:r>
      <w:r w:rsidRPr="00984964">
        <w:rPr>
          <w:rFonts w:ascii="楷体" w:eastAsia="楷体" w:hAnsi="楷体" w:hint="eastAsia"/>
          <w:szCs w:val="21"/>
        </w:rPr>
        <w:t>基金管理公司管理全国社保基金情况</w:t>
      </w:r>
    </w:p>
    <w:p w:rsidR="00AD7D20" w:rsidRPr="00984964" w:rsidRDefault="00AD7D20" w:rsidP="00AD7D20">
      <w:pPr>
        <w:rPr>
          <w:rFonts w:asciiTheme="minorEastAsia" w:hAnsiTheme="minorEastAsia"/>
          <w:sz w:val="28"/>
          <w:szCs w:val="28"/>
        </w:rPr>
      </w:pPr>
      <w:r w:rsidRPr="00984964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8FED" wp14:editId="3BA5395F">
                <wp:simplePos x="0" y="0"/>
                <wp:positionH relativeFrom="column">
                  <wp:posOffset>4654794</wp:posOffset>
                </wp:positionH>
                <wp:positionV relativeFrom="paragraph">
                  <wp:posOffset>2897847</wp:posOffset>
                </wp:positionV>
                <wp:extent cx="807720" cy="477227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77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20" w:rsidRPr="00F700BC" w:rsidRDefault="00AD7D20" w:rsidP="00AD7D20">
                            <w:pPr>
                              <w:ind w:firstLine="420"/>
                              <w:rPr>
                                <w:rFonts w:ascii="宋体" w:eastAsia="宋体" w:hAnsi="宋体"/>
                              </w:rPr>
                            </w:pPr>
                            <w:r w:rsidRPr="00F700BC">
                              <w:rPr>
                                <w:rFonts w:ascii="宋体" w:eastAsia="宋体" w:hAnsi="宋体" w:hint="eastAsia"/>
                              </w:rPr>
                              <w:t>单位：亿元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6.5pt;margin-top:228.2pt;width:63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" stroked="f">
                <v:textbox>
                  <w:txbxContent>
                    <w:p w:rsidR="00AD7D20" w:rsidRPr="00F700BC" w:rsidRDefault="00AD7D20" w:rsidP="00AD7D20">
                      <w:pPr>
                        <w:ind w:firstLine="420"/>
                        <w:rPr>
                          <w:rFonts w:ascii="宋体" w:eastAsia="宋体" w:hAnsi="宋体"/>
                        </w:rPr>
                      </w:pPr>
                      <w:r w:rsidRPr="00F700BC">
                        <w:rPr>
                          <w:rFonts w:ascii="宋体" w:eastAsia="宋体" w:hAnsi="宋体" w:hint="eastAsia"/>
                        </w:rPr>
                        <w:t>单位：亿元</w:t>
                      </w:r>
                    </w:p>
                  </w:txbxContent>
                </v:textbox>
              </v:shape>
            </w:pict>
          </mc:Fallback>
        </mc:AlternateContent>
      </w:r>
      <w:r w:rsidRPr="00984964">
        <w:rPr>
          <w:rFonts w:ascii="仿宋_GB2312" w:eastAsia="仿宋_GB2312"/>
          <w:noProof/>
          <w:szCs w:val="32"/>
        </w:rPr>
        <w:drawing>
          <wp:inline distT="0" distB="0" distL="0" distR="0" wp14:anchorId="4C96D188" wp14:editId="50F132BC">
            <wp:extent cx="5464810" cy="3376246"/>
            <wp:effectExtent l="0" t="0" r="2540" b="15240"/>
            <wp:docPr id="296" name="图表 296" title="图3-5 基金管理公司管理全国社保基金情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7D20" w:rsidRPr="00984964" w:rsidRDefault="00AD7D20" w:rsidP="00AD7D20">
      <w:pPr>
        <w:rPr>
          <w:rFonts w:ascii="楷体" w:eastAsia="楷体" w:hAnsi="楷体"/>
          <w:szCs w:val="28"/>
        </w:rPr>
      </w:pPr>
      <w:r w:rsidRPr="00984964">
        <w:rPr>
          <w:rFonts w:ascii="楷体" w:eastAsia="楷体" w:hAnsi="楷体" w:hint="eastAsia"/>
          <w:szCs w:val="28"/>
        </w:rPr>
        <w:t>注</w:t>
      </w:r>
      <w:r w:rsidRPr="00984964">
        <w:rPr>
          <w:rFonts w:ascii="楷体" w:eastAsia="楷体" w:hAnsi="楷体"/>
          <w:szCs w:val="28"/>
        </w:rPr>
        <w:t>：</w:t>
      </w:r>
      <w:r w:rsidRPr="00984964">
        <w:rPr>
          <w:rFonts w:ascii="楷体" w:eastAsia="楷体" w:hAnsi="楷体" w:hint="eastAsia"/>
          <w:szCs w:val="28"/>
        </w:rPr>
        <w:t>基金</w:t>
      </w:r>
      <w:r w:rsidRPr="00984964">
        <w:rPr>
          <w:rFonts w:ascii="楷体" w:eastAsia="楷体" w:hAnsi="楷体"/>
          <w:szCs w:val="28"/>
        </w:rPr>
        <w:t>公司管理</w:t>
      </w:r>
      <w:r w:rsidRPr="00984964">
        <w:rPr>
          <w:rFonts w:ascii="楷体" w:eastAsia="楷体" w:hAnsi="楷体" w:hint="eastAsia"/>
          <w:szCs w:val="28"/>
        </w:rPr>
        <w:t>规模</w:t>
      </w:r>
      <w:r w:rsidRPr="00984964">
        <w:rPr>
          <w:rFonts w:ascii="楷体" w:eastAsia="楷体" w:hAnsi="楷体"/>
          <w:szCs w:val="28"/>
        </w:rPr>
        <w:t>与委托投资规模之</w:t>
      </w:r>
      <w:r w:rsidRPr="00984964">
        <w:rPr>
          <w:rFonts w:ascii="楷体" w:eastAsia="楷体" w:hAnsi="楷体" w:hint="eastAsia"/>
          <w:szCs w:val="28"/>
        </w:rPr>
        <w:t>比</w:t>
      </w:r>
      <w:r w:rsidRPr="00984964">
        <w:rPr>
          <w:rFonts w:ascii="楷体" w:eastAsia="楷体" w:hAnsi="楷体"/>
          <w:szCs w:val="28"/>
        </w:rPr>
        <w:t>逐年下降，</w:t>
      </w:r>
      <w:r w:rsidRPr="00984964">
        <w:rPr>
          <w:rFonts w:ascii="楷体" w:eastAsia="楷体" w:hAnsi="楷体" w:hint="eastAsia"/>
          <w:szCs w:val="28"/>
        </w:rPr>
        <w:t>与</w:t>
      </w:r>
      <w:r w:rsidRPr="00984964">
        <w:rPr>
          <w:rFonts w:ascii="楷体" w:eastAsia="楷体" w:hAnsi="楷体"/>
          <w:szCs w:val="28"/>
        </w:rPr>
        <w:t>近年来社保境外投资资产规模</w:t>
      </w:r>
      <w:r w:rsidRPr="00984964">
        <w:rPr>
          <w:rFonts w:ascii="楷体" w:eastAsia="楷体" w:hAnsi="楷体" w:hint="eastAsia"/>
          <w:szCs w:val="28"/>
        </w:rPr>
        <w:t>增幅较大，且</w:t>
      </w:r>
      <w:r>
        <w:rPr>
          <w:rFonts w:ascii="楷体" w:eastAsia="楷体" w:hAnsi="楷体" w:hint="eastAsia"/>
          <w:szCs w:val="28"/>
        </w:rPr>
        <w:t>已披露</w:t>
      </w:r>
      <w:r w:rsidRPr="00984964">
        <w:rPr>
          <w:rFonts w:ascii="楷体" w:eastAsia="楷体" w:hAnsi="楷体"/>
          <w:szCs w:val="28"/>
        </w:rPr>
        <w:t>的</w:t>
      </w:r>
      <w:r w:rsidRPr="00984964">
        <w:rPr>
          <w:rFonts w:ascii="楷体" w:eastAsia="楷体" w:hAnsi="楷体" w:hint="eastAsia"/>
          <w:szCs w:val="28"/>
        </w:rPr>
        <w:t>37家</w:t>
      </w:r>
      <w:r w:rsidRPr="00984964">
        <w:rPr>
          <w:rFonts w:ascii="楷体" w:eastAsia="楷体" w:hAnsi="楷体"/>
          <w:szCs w:val="28"/>
        </w:rPr>
        <w:t>境外投资管理人中</w:t>
      </w:r>
      <w:r w:rsidRPr="00984964">
        <w:rPr>
          <w:rFonts w:ascii="楷体" w:eastAsia="楷体" w:hAnsi="楷体" w:hint="eastAsia"/>
          <w:szCs w:val="28"/>
        </w:rPr>
        <w:t>，</w:t>
      </w:r>
      <w:r w:rsidRPr="00984964">
        <w:rPr>
          <w:rFonts w:ascii="楷体" w:eastAsia="楷体" w:hAnsi="楷体"/>
          <w:szCs w:val="28"/>
        </w:rPr>
        <w:t>仅</w:t>
      </w:r>
      <w:r>
        <w:rPr>
          <w:rFonts w:ascii="楷体" w:eastAsia="楷体" w:hAnsi="楷体" w:hint="eastAsia"/>
          <w:szCs w:val="28"/>
        </w:rPr>
        <w:t>4</w:t>
      </w:r>
      <w:r w:rsidRPr="00984964">
        <w:rPr>
          <w:rFonts w:ascii="楷体" w:eastAsia="楷体" w:hAnsi="楷体" w:hint="eastAsia"/>
          <w:szCs w:val="28"/>
        </w:rPr>
        <w:t>家为</w:t>
      </w:r>
      <w:r w:rsidRPr="00984964">
        <w:rPr>
          <w:rFonts w:ascii="楷体" w:eastAsia="楷体" w:hAnsi="楷体"/>
          <w:szCs w:val="28"/>
        </w:rPr>
        <w:t>境内基金公司</w:t>
      </w:r>
      <w:r w:rsidRPr="00984964">
        <w:rPr>
          <w:rFonts w:ascii="楷体" w:eastAsia="楷体" w:hAnsi="楷体" w:hint="eastAsia"/>
          <w:szCs w:val="28"/>
        </w:rPr>
        <w:t>等</w:t>
      </w:r>
      <w:r w:rsidRPr="00984964">
        <w:rPr>
          <w:rFonts w:ascii="楷体" w:eastAsia="楷体" w:hAnsi="楷体"/>
          <w:szCs w:val="28"/>
        </w:rPr>
        <w:t>因素</w:t>
      </w:r>
      <w:r w:rsidRPr="00984964">
        <w:rPr>
          <w:rFonts w:ascii="楷体" w:eastAsia="楷体" w:hAnsi="楷体" w:hint="eastAsia"/>
          <w:szCs w:val="28"/>
        </w:rPr>
        <w:t>有关</w:t>
      </w:r>
      <w:r w:rsidRPr="00984964">
        <w:rPr>
          <w:rFonts w:ascii="楷体" w:eastAsia="楷体" w:hAnsi="楷体"/>
          <w:szCs w:val="28"/>
        </w:rPr>
        <w:t>。</w:t>
      </w:r>
      <w:r w:rsidRPr="00984964">
        <w:rPr>
          <w:rFonts w:ascii="楷体" w:eastAsia="楷体" w:hAnsi="楷体" w:hint="eastAsia"/>
          <w:szCs w:val="28"/>
        </w:rPr>
        <w:t xml:space="preserve"> </w:t>
      </w:r>
    </w:p>
    <w:p w:rsidR="00AD7D20" w:rsidRPr="00984964" w:rsidRDefault="00AD7D20" w:rsidP="00AD7D20">
      <w:pPr>
        <w:jc w:val="left"/>
        <w:rPr>
          <w:rFonts w:ascii="楷体" w:eastAsia="楷体" w:hAnsi="楷体"/>
          <w:szCs w:val="28"/>
        </w:rPr>
      </w:pPr>
      <w:r w:rsidRPr="00984964">
        <w:rPr>
          <w:rFonts w:ascii="楷体" w:eastAsia="楷体" w:hAnsi="楷体" w:hint="eastAsia"/>
          <w:szCs w:val="28"/>
        </w:rPr>
        <w:t>数据来源：全国社保基金理事会。</w:t>
      </w:r>
    </w:p>
    <w:p w:rsidR="00AD7D20" w:rsidRPr="00AD7D20" w:rsidRDefault="00AD7D20" w:rsidP="00AD7D20">
      <w:pPr>
        <w:ind w:firstLineChars="200" w:firstLine="640"/>
        <w:rPr>
          <w:rFonts w:ascii="仿宋" w:eastAsia="仿宋" w:hAnsi="仿宋"/>
          <w:sz w:val="32"/>
        </w:rPr>
      </w:pPr>
      <w:r w:rsidRPr="00AD7D20">
        <w:rPr>
          <w:rFonts w:ascii="仿宋" w:eastAsia="仿宋" w:hAnsi="仿宋" w:hint="eastAsia"/>
          <w:sz w:val="32"/>
        </w:rPr>
        <w:t>2003年起全国社保基金开始委托基金管理公司进行投资管理，2007年后，委托投资规模占社保基金资产总额的比重稳定在40%以上，2017年达到57.7%。2008年以来，社保基金的历史</w:t>
      </w:r>
      <w:proofErr w:type="gramStart"/>
      <w:r w:rsidRPr="00AD7D20">
        <w:rPr>
          <w:rFonts w:ascii="仿宋" w:eastAsia="仿宋" w:hAnsi="仿宋" w:hint="eastAsia"/>
          <w:sz w:val="32"/>
        </w:rPr>
        <w:t>年化平均</w:t>
      </w:r>
      <w:proofErr w:type="gramEnd"/>
      <w:r w:rsidRPr="00AD7D20">
        <w:rPr>
          <w:rFonts w:ascii="仿宋" w:eastAsia="仿宋" w:hAnsi="仿宋" w:hint="eastAsia"/>
          <w:sz w:val="32"/>
        </w:rPr>
        <w:t>收益率在</w:t>
      </w:r>
      <w:r w:rsidRPr="00AD7D20">
        <w:rPr>
          <w:rFonts w:ascii="仿宋" w:eastAsia="仿宋" w:hAnsi="仿宋"/>
          <w:sz w:val="32"/>
        </w:rPr>
        <w:t>8%</w:t>
      </w:r>
      <w:r w:rsidRPr="00AD7D20">
        <w:rPr>
          <w:rFonts w:ascii="仿宋" w:eastAsia="仿宋" w:hAnsi="仿宋" w:hint="eastAsia"/>
          <w:sz w:val="32"/>
        </w:rPr>
        <w:t>至</w:t>
      </w:r>
      <w:r w:rsidRPr="00AD7D20">
        <w:rPr>
          <w:rFonts w:ascii="仿宋" w:eastAsia="仿宋" w:hAnsi="仿宋"/>
          <w:sz w:val="32"/>
        </w:rPr>
        <w:t>10%</w:t>
      </w:r>
      <w:r w:rsidRPr="00AD7D20">
        <w:rPr>
          <w:rFonts w:ascii="仿宋" w:eastAsia="仿宋" w:hAnsi="仿宋" w:hint="eastAsia"/>
          <w:sz w:val="32"/>
        </w:rPr>
        <w:t>之间。2017年，社保基金自成立以来的年均投资收益率达8.4％，累计投资收益额10074亿元。</w:t>
      </w:r>
    </w:p>
    <w:p w:rsidR="00AD7D20" w:rsidRPr="00984964" w:rsidRDefault="00AD7D20" w:rsidP="00AD7D20">
      <w:pPr>
        <w:jc w:val="center"/>
        <w:rPr>
          <w:rFonts w:asciiTheme="minorEastAsia" w:hAnsiTheme="minorEastAsia"/>
          <w:b/>
          <w:sz w:val="22"/>
          <w:szCs w:val="28"/>
        </w:rPr>
      </w:pPr>
      <w:r w:rsidRPr="00984964">
        <w:rPr>
          <w:rFonts w:ascii="楷体" w:eastAsia="楷体" w:hAnsi="楷体" w:hint="eastAsia"/>
          <w:szCs w:val="21"/>
        </w:rPr>
        <w:t>图表2</w:t>
      </w:r>
      <w:r w:rsidRPr="00984964">
        <w:rPr>
          <w:rFonts w:ascii="楷体" w:eastAsia="楷体" w:hAnsi="楷体"/>
          <w:szCs w:val="21"/>
        </w:rPr>
        <w:t xml:space="preserve"> </w:t>
      </w:r>
      <w:r w:rsidRPr="00984964">
        <w:rPr>
          <w:rFonts w:ascii="楷体" w:eastAsia="楷体" w:hAnsi="楷体" w:hint="eastAsia"/>
          <w:szCs w:val="21"/>
        </w:rPr>
        <w:t>全国社保基金委</w:t>
      </w:r>
      <w:proofErr w:type="gramStart"/>
      <w:r w:rsidRPr="00984964">
        <w:rPr>
          <w:rFonts w:ascii="楷体" w:eastAsia="楷体" w:hAnsi="楷体" w:hint="eastAsia"/>
          <w:szCs w:val="21"/>
        </w:rPr>
        <w:t>托投资</w:t>
      </w:r>
      <w:proofErr w:type="gramEnd"/>
      <w:r w:rsidRPr="00984964">
        <w:rPr>
          <w:rFonts w:ascii="楷体" w:eastAsia="楷体" w:hAnsi="楷体" w:hint="eastAsia"/>
          <w:szCs w:val="21"/>
        </w:rPr>
        <w:t>及历史收益情况</w:t>
      </w:r>
    </w:p>
    <w:p w:rsidR="00AD7D20" w:rsidRPr="00984964" w:rsidRDefault="00AD7D20" w:rsidP="00AD7D20">
      <w:pPr>
        <w:jc w:val="center"/>
        <w:rPr>
          <w:rFonts w:asciiTheme="minorEastAsia" w:hAnsiTheme="minorEastAsia"/>
          <w:sz w:val="24"/>
          <w:szCs w:val="28"/>
        </w:rPr>
      </w:pPr>
      <w:r w:rsidRPr="00984964">
        <w:rPr>
          <w:rFonts w:ascii="仿宋_GB2312" w:eastAsia="仿宋_GB2312"/>
          <w:noProof/>
          <w:szCs w:val="32"/>
        </w:rPr>
        <w:lastRenderedPageBreak/>
        <w:drawing>
          <wp:inline distT="0" distB="0" distL="0" distR="0" wp14:anchorId="50343874" wp14:editId="7E669207">
            <wp:extent cx="5278755" cy="2548255"/>
            <wp:effectExtent l="0" t="0" r="17145" b="4445"/>
            <wp:docPr id="297" name="图表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D20" w:rsidRDefault="00AD7D20" w:rsidP="00AD7D20">
      <w:pPr>
        <w:jc w:val="left"/>
        <w:rPr>
          <w:rFonts w:asciiTheme="minorEastAsia" w:hAnsiTheme="minorEastAsia" w:hint="eastAsia"/>
          <w:sz w:val="24"/>
          <w:szCs w:val="28"/>
        </w:rPr>
      </w:pPr>
      <w:r w:rsidRPr="00984964">
        <w:rPr>
          <w:rFonts w:ascii="楷体" w:eastAsia="楷体" w:hAnsi="楷体" w:hint="eastAsia"/>
          <w:szCs w:val="28"/>
        </w:rPr>
        <w:t>数据来源：全国社保基金理事会。</w:t>
      </w:r>
    </w:p>
    <w:p w:rsidR="00AD7D20" w:rsidRPr="00AD7D20" w:rsidRDefault="00AD7D20" w:rsidP="00AD7D20">
      <w:pPr>
        <w:ind w:firstLineChars="200" w:firstLine="640"/>
        <w:jc w:val="left"/>
        <w:rPr>
          <w:rFonts w:ascii="黑体" w:eastAsia="黑体" w:hAnsi="黑体"/>
          <w:sz w:val="24"/>
          <w:szCs w:val="28"/>
        </w:rPr>
      </w:pPr>
      <w:r w:rsidRPr="00AD7D20">
        <w:rPr>
          <w:rFonts w:ascii="黑体" w:eastAsia="黑体" w:hAnsi="黑体" w:hint="eastAsia"/>
          <w:sz w:val="32"/>
        </w:rPr>
        <w:t>二、管理企业年金</w:t>
      </w:r>
    </w:p>
    <w:p w:rsidR="00AD7D20" w:rsidRPr="00AD7D20" w:rsidRDefault="00AD7D20" w:rsidP="00AD7D20">
      <w:pPr>
        <w:ind w:firstLineChars="200" w:firstLine="640"/>
        <w:rPr>
          <w:rFonts w:ascii="仿宋" w:eastAsia="仿宋" w:hAnsi="仿宋"/>
          <w:sz w:val="32"/>
        </w:rPr>
      </w:pPr>
      <w:r w:rsidRPr="00AD7D20">
        <w:rPr>
          <w:rFonts w:ascii="仿宋" w:eastAsia="仿宋" w:hAnsi="仿宋" w:hint="eastAsia"/>
          <w:sz w:val="32"/>
        </w:rPr>
        <w:t>201</w:t>
      </w:r>
      <w:r w:rsidRPr="00AD7D20">
        <w:rPr>
          <w:rFonts w:ascii="仿宋" w:eastAsia="仿宋" w:hAnsi="仿宋"/>
          <w:sz w:val="32"/>
        </w:rPr>
        <w:t>8</w:t>
      </w:r>
      <w:r w:rsidRPr="00AD7D20">
        <w:rPr>
          <w:rFonts w:ascii="仿宋" w:eastAsia="仿宋" w:hAnsi="仿宋" w:hint="eastAsia"/>
          <w:sz w:val="32"/>
        </w:rPr>
        <w:t>年末，由基金管理公司管理的企业年金资产为</w:t>
      </w:r>
      <w:r w:rsidRPr="00AD7D20">
        <w:rPr>
          <w:rFonts w:ascii="仿宋" w:eastAsia="仿宋" w:hAnsi="仿宋"/>
          <w:sz w:val="32"/>
        </w:rPr>
        <w:t>51</w:t>
      </w:r>
      <w:r w:rsidRPr="00AD7D20">
        <w:rPr>
          <w:rFonts w:ascii="仿宋" w:eastAsia="仿宋" w:hAnsi="仿宋" w:hint="eastAsia"/>
          <w:sz w:val="32"/>
        </w:rPr>
        <w:t>69亿元，与201</w:t>
      </w:r>
      <w:r w:rsidRPr="00AD7D20">
        <w:rPr>
          <w:rFonts w:ascii="仿宋" w:eastAsia="仿宋" w:hAnsi="仿宋"/>
          <w:sz w:val="32"/>
        </w:rPr>
        <w:t>7</w:t>
      </w:r>
      <w:r w:rsidRPr="00AD7D20">
        <w:rPr>
          <w:rFonts w:ascii="仿宋" w:eastAsia="仿宋" w:hAnsi="仿宋" w:hint="eastAsia"/>
          <w:sz w:val="32"/>
        </w:rPr>
        <w:t>年末相比增长13</w:t>
      </w:r>
      <w:r w:rsidRPr="00AD7D20">
        <w:rPr>
          <w:rFonts w:ascii="仿宋" w:eastAsia="仿宋" w:hAnsi="仿宋"/>
          <w:sz w:val="32"/>
        </w:rPr>
        <w:t>.</w:t>
      </w:r>
      <w:r w:rsidRPr="00AD7D20">
        <w:rPr>
          <w:rFonts w:ascii="仿宋" w:eastAsia="仿宋" w:hAnsi="仿宋" w:hint="eastAsia"/>
          <w:sz w:val="32"/>
        </w:rPr>
        <w:t>1%，占全部企业年金委托投资资产的36.</w:t>
      </w:r>
      <w:r w:rsidRPr="00AD7D20">
        <w:rPr>
          <w:rFonts w:ascii="仿宋" w:eastAsia="仿宋" w:hAnsi="仿宋"/>
          <w:sz w:val="32"/>
        </w:rPr>
        <w:t>3</w:t>
      </w:r>
      <w:r w:rsidRPr="00AD7D20">
        <w:rPr>
          <w:rFonts w:ascii="仿宋" w:eastAsia="仿宋" w:hAnsi="仿宋" w:hint="eastAsia"/>
          <w:sz w:val="32"/>
        </w:rPr>
        <w:t>%，与2017年末相比下降</w:t>
      </w:r>
      <w:r w:rsidRPr="00AD7D20">
        <w:rPr>
          <w:rFonts w:ascii="仿宋" w:eastAsia="仿宋" w:hAnsi="仿宋"/>
          <w:sz w:val="32"/>
        </w:rPr>
        <w:t>0.6</w:t>
      </w:r>
      <w:r w:rsidRPr="00AD7D20">
        <w:rPr>
          <w:rFonts w:ascii="仿宋" w:eastAsia="仿宋" w:hAnsi="仿宋" w:hint="eastAsia"/>
          <w:sz w:val="32"/>
        </w:rPr>
        <w:t>个百分点。</w:t>
      </w:r>
    </w:p>
    <w:p w:rsidR="00AD7D20" w:rsidRPr="00984964" w:rsidRDefault="00AD7D20" w:rsidP="00AD7D20">
      <w:pPr>
        <w:jc w:val="center"/>
        <w:rPr>
          <w:rFonts w:ascii="楷体" w:eastAsia="楷体" w:hAnsi="楷体"/>
          <w:szCs w:val="21"/>
        </w:rPr>
      </w:pPr>
      <w:r w:rsidRPr="00984964">
        <w:rPr>
          <w:rFonts w:ascii="楷体" w:eastAsia="楷体" w:hAnsi="楷体" w:hint="eastAsia"/>
          <w:szCs w:val="21"/>
        </w:rPr>
        <w:t xml:space="preserve">图表3 </w:t>
      </w:r>
      <w:r w:rsidRPr="00984964">
        <w:rPr>
          <w:rFonts w:ascii="楷体" w:eastAsia="楷体" w:hAnsi="楷体"/>
          <w:szCs w:val="21"/>
        </w:rPr>
        <w:t xml:space="preserve"> </w:t>
      </w:r>
      <w:r w:rsidRPr="00984964">
        <w:rPr>
          <w:rFonts w:ascii="楷体" w:eastAsia="楷体" w:hAnsi="楷体" w:hint="eastAsia"/>
          <w:szCs w:val="21"/>
        </w:rPr>
        <w:t>基金管理公司管理企业年金情况</w:t>
      </w:r>
    </w:p>
    <w:p w:rsidR="00AD7D20" w:rsidRPr="00984964" w:rsidRDefault="00AD7D20" w:rsidP="00AD7D20">
      <w:pPr>
        <w:jc w:val="center"/>
        <w:rPr>
          <w:rFonts w:asciiTheme="minorEastAsia" w:hAnsiTheme="minorEastAsia"/>
          <w:b/>
          <w:sz w:val="22"/>
          <w:szCs w:val="28"/>
          <w:shd w:val="pct15" w:color="auto" w:fill="FFFFFF"/>
        </w:rPr>
      </w:pPr>
      <w:r w:rsidRPr="00984964">
        <w:rPr>
          <w:rFonts w:asciiTheme="minorEastAsia" w:hAnsiTheme="minorEastAsia" w:hint="eastAsia"/>
          <w:b/>
          <w:noProof/>
          <w:sz w:val="22"/>
          <w:szCs w:val="28"/>
          <w:shd w:val="pct15" w:color="auto" w:fill="FFFFFF"/>
        </w:rPr>
        <w:drawing>
          <wp:inline distT="0" distB="0" distL="0" distR="0" wp14:anchorId="3FFD1938" wp14:editId="6BBD4ACA">
            <wp:extent cx="5278755" cy="3079115"/>
            <wp:effectExtent l="0" t="0" r="17145" b="6985"/>
            <wp:docPr id="298" name="图表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7D20" w:rsidRPr="00984964" w:rsidRDefault="00AD7D20" w:rsidP="00AD7D20">
      <w:pPr>
        <w:jc w:val="left"/>
        <w:rPr>
          <w:rFonts w:ascii="楷体" w:eastAsia="楷体" w:hAnsi="楷体"/>
          <w:szCs w:val="28"/>
        </w:rPr>
      </w:pPr>
      <w:r w:rsidRPr="00984964">
        <w:rPr>
          <w:rFonts w:ascii="楷体" w:eastAsia="楷体" w:hAnsi="楷体" w:hint="eastAsia"/>
          <w:szCs w:val="28"/>
        </w:rPr>
        <w:t>数据来源：201</w:t>
      </w:r>
      <w:r w:rsidRPr="00984964">
        <w:rPr>
          <w:rFonts w:ascii="楷体" w:eastAsia="楷体" w:hAnsi="楷体"/>
          <w:szCs w:val="28"/>
        </w:rPr>
        <w:t>8</w:t>
      </w:r>
      <w:r w:rsidRPr="00984964">
        <w:rPr>
          <w:rFonts w:ascii="楷体" w:eastAsia="楷体" w:hAnsi="楷体" w:hint="eastAsia"/>
          <w:szCs w:val="28"/>
        </w:rPr>
        <w:t>年度全国企业年金基金</w:t>
      </w:r>
      <w:r w:rsidRPr="00984964">
        <w:rPr>
          <w:rFonts w:ascii="楷体" w:eastAsia="楷体" w:hAnsi="楷体"/>
          <w:szCs w:val="28"/>
        </w:rPr>
        <w:t>业务</w:t>
      </w:r>
      <w:r w:rsidRPr="00984964">
        <w:rPr>
          <w:rFonts w:ascii="楷体" w:eastAsia="楷体" w:hAnsi="楷体" w:hint="eastAsia"/>
          <w:szCs w:val="28"/>
        </w:rPr>
        <w:t>数据</w:t>
      </w:r>
      <w:r w:rsidRPr="00984964">
        <w:rPr>
          <w:rFonts w:ascii="楷体" w:eastAsia="楷体" w:hAnsi="楷体"/>
          <w:szCs w:val="28"/>
        </w:rPr>
        <w:t>摘要</w:t>
      </w:r>
      <w:r w:rsidRPr="00984964">
        <w:rPr>
          <w:rFonts w:ascii="楷体" w:eastAsia="楷体" w:hAnsi="楷体" w:hint="eastAsia"/>
          <w:szCs w:val="28"/>
        </w:rPr>
        <w:t>。</w:t>
      </w:r>
    </w:p>
    <w:p w:rsidR="00233412" w:rsidRPr="00AD7D20" w:rsidRDefault="00233412" w:rsidP="00233412">
      <w:pPr>
        <w:rPr>
          <w:rFonts w:ascii="仿宋_GB2312" w:eastAsia="仿宋_GB2312"/>
          <w:szCs w:val="32"/>
        </w:rPr>
      </w:pPr>
    </w:p>
    <w:p w:rsidR="00233412" w:rsidRPr="00233412" w:rsidRDefault="00233412" w:rsidP="00233412">
      <w:pPr>
        <w:spacing w:line="540" w:lineRule="exact"/>
        <w:ind w:firstLine="645"/>
        <w:rPr>
          <w:rFonts w:ascii="仿宋" w:eastAsia="仿宋" w:hAnsi="仿宋"/>
          <w:sz w:val="32"/>
        </w:rPr>
      </w:pPr>
    </w:p>
    <w:sectPr w:rsidR="00233412" w:rsidRPr="00233412" w:rsidSect="004A4FA6">
      <w:footerReference w:type="default" r:id="rId11"/>
      <w:pgSz w:w="11906" w:h="16838"/>
      <w:pgMar w:top="1985" w:right="1588" w:bottom="136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4D" w:rsidRDefault="00891D4D" w:rsidP="0070511E">
      <w:r>
        <w:separator/>
      </w:r>
    </w:p>
  </w:endnote>
  <w:endnote w:type="continuationSeparator" w:id="0">
    <w:p w:rsidR="00891D4D" w:rsidRDefault="00891D4D" w:rsidP="007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auto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0907"/>
      <w:docPartObj>
        <w:docPartGallery w:val="Page Numbers (Bottom of Page)"/>
        <w:docPartUnique/>
      </w:docPartObj>
    </w:sdtPr>
    <w:sdtEndPr/>
    <w:sdtContent>
      <w:p w:rsidR="007B6943" w:rsidRDefault="002E6B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A3" w:rsidRPr="00F85AA3">
          <w:rPr>
            <w:noProof/>
            <w:lang w:val="zh-CN"/>
          </w:rPr>
          <w:t>4</w:t>
        </w:r>
        <w:r>
          <w:fldChar w:fldCharType="end"/>
        </w:r>
      </w:p>
    </w:sdtContent>
  </w:sdt>
  <w:p w:rsidR="007641A5" w:rsidRDefault="00891D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4D" w:rsidRDefault="00891D4D" w:rsidP="0070511E">
      <w:r>
        <w:separator/>
      </w:r>
    </w:p>
  </w:footnote>
  <w:footnote w:type="continuationSeparator" w:id="0">
    <w:p w:rsidR="00891D4D" w:rsidRDefault="00891D4D" w:rsidP="0070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4324"/>
    <w:multiLevelType w:val="hybridMultilevel"/>
    <w:tmpl w:val="F11671D4"/>
    <w:lvl w:ilvl="0" w:tplc="E39EC14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95B35C6"/>
    <w:multiLevelType w:val="hybridMultilevel"/>
    <w:tmpl w:val="166C7B2A"/>
    <w:lvl w:ilvl="0" w:tplc="074C3DEC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6FE31B21"/>
    <w:multiLevelType w:val="hybridMultilevel"/>
    <w:tmpl w:val="EA4C2422"/>
    <w:lvl w:ilvl="0" w:tplc="58AA0A4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6"/>
    <w:rsid w:val="00040579"/>
    <w:rsid w:val="00233412"/>
    <w:rsid w:val="002554B7"/>
    <w:rsid w:val="002A33E0"/>
    <w:rsid w:val="002E6B2F"/>
    <w:rsid w:val="00343790"/>
    <w:rsid w:val="004C1580"/>
    <w:rsid w:val="005536E2"/>
    <w:rsid w:val="005B057F"/>
    <w:rsid w:val="005F0584"/>
    <w:rsid w:val="006D1CF3"/>
    <w:rsid w:val="006D5FC6"/>
    <w:rsid w:val="0070511E"/>
    <w:rsid w:val="00830534"/>
    <w:rsid w:val="00891D4D"/>
    <w:rsid w:val="00A84A87"/>
    <w:rsid w:val="00AD7D20"/>
    <w:rsid w:val="00AE4FC3"/>
    <w:rsid w:val="00B96BF1"/>
    <w:rsid w:val="00CB0865"/>
    <w:rsid w:val="00E96C05"/>
    <w:rsid w:val="00EB34CE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11E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11E"/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70511E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70511E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uiPriority w:val="99"/>
    <w:unhideWhenUsed/>
    <w:qFormat/>
    <w:rsid w:val="0070511E"/>
    <w:rPr>
      <w:vertAlign w:val="superscript"/>
    </w:rPr>
  </w:style>
  <w:style w:type="character" w:customStyle="1" w:styleId="Char10">
    <w:name w:val="脚注文本 Char1"/>
    <w:basedOn w:val="a0"/>
    <w:uiPriority w:val="99"/>
    <w:rsid w:val="005F058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F058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0584"/>
    <w:rPr>
      <w:rFonts w:asciiTheme="minorHAnsi" w:eastAsiaTheme="minorEastAsia" w:hAnsiTheme="minorHAnsi"/>
      <w:sz w:val="18"/>
      <w:szCs w:val="18"/>
    </w:rPr>
  </w:style>
  <w:style w:type="paragraph" w:styleId="a8">
    <w:name w:val="List Paragraph"/>
    <w:basedOn w:val="a"/>
    <w:uiPriority w:val="34"/>
    <w:qFormat/>
    <w:rsid w:val="005F0584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5F0584"/>
  </w:style>
  <w:style w:type="paragraph" w:customStyle="1" w:styleId="Default">
    <w:name w:val="Default"/>
    <w:rsid w:val="005F0584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character" w:customStyle="1" w:styleId="10">
    <w:name w:val="脚注文本 字符1"/>
    <w:uiPriority w:val="99"/>
    <w:rsid w:val="005F0584"/>
    <w:rPr>
      <w:rFonts w:ascii="仿宋" w:eastAsia="仿宋" w:hAnsi="仿宋"/>
      <w:sz w:val="18"/>
    </w:rPr>
  </w:style>
  <w:style w:type="character" w:styleId="a9">
    <w:name w:val="annotation reference"/>
    <w:basedOn w:val="a0"/>
    <w:uiPriority w:val="99"/>
    <w:semiHidden/>
    <w:unhideWhenUsed/>
    <w:rsid w:val="005F0584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5F0584"/>
    <w:pPr>
      <w:jc w:val="left"/>
    </w:pPr>
    <w:rPr>
      <w:rFonts w:ascii="Times New Roman" w:eastAsia="仿宋" w:hAnsi="Times New Roman"/>
      <w:sz w:val="32"/>
    </w:rPr>
  </w:style>
  <w:style w:type="character" w:customStyle="1" w:styleId="Char3">
    <w:name w:val="批注文字 Char"/>
    <w:basedOn w:val="a0"/>
    <w:link w:val="aa"/>
    <w:uiPriority w:val="99"/>
    <w:rsid w:val="005F0584"/>
    <w:rPr>
      <w:rFonts w:ascii="Times New Roman" w:hAnsi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F0584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F0584"/>
    <w:rPr>
      <w:rFonts w:ascii="Times New Roman" w:hAnsi="Times New Roman"/>
      <w:b/>
      <w:bCs/>
    </w:rPr>
  </w:style>
  <w:style w:type="paragraph" w:styleId="ac">
    <w:name w:val="Revision"/>
    <w:hidden/>
    <w:uiPriority w:val="99"/>
    <w:semiHidden/>
    <w:rsid w:val="005F0584"/>
    <w:rPr>
      <w:rFonts w:ascii="Times New Roman" w:hAnsi="Times New Roman"/>
    </w:rPr>
  </w:style>
  <w:style w:type="table" w:styleId="ad">
    <w:name w:val="Table Grid"/>
    <w:basedOn w:val="a1"/>
    <w:uiPriority w:val="39"/>
    <w:rsid w:val="005F0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5F0584"/>
    <w:pPr>
      <w:ind w:firstLineChars="200" w:firstLine="640"/>
    </w:pPr>
    <w:rPr>
      <w:rFonts w:asciiTheme="majorHAnsi" w:eastAsia="黑体" w:hAnsiTheme="majorHAnsi" w:cstheme="majorBidi"/>
      <w:sz w:val="20"/>
      <w:szCs w:val="20"/>
    </w:rPr>
  </w:style>
  <w:style w:type="paragraph" w:customStyle="1" w:styleId="af">
    <w:name w:val="图例"/>
    <w:basedOn w:val="a"/>
    <w:link w:val="af0"/>
    <w:qFormat/>
    <w:rsid w:val="005F0584"/>
    <w:pPr>
      <w:jc w:val="center"/>
    </w:pPr>
    <w:rPr>
      <w:rFonts w:asciiTheme="majorHAnsi" w:eastAsia="黑体" w:hAnsiTheme="majorHAnsi" w:cstheme="majorBidi"/>
      <w:sz w:val="20"/>
      <w:szCs w:val="20"/>
    </w:rPr>
  </w:style>
  <w:style w:type="character" w:customStyle="1" w:styleId="af0">
    <w:name w:val="图例 字符"/>
    <w:basedOn w:val="a0"/>
    <w:link w:val="af"/>
    <w:rsid w:val="005F0584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11E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11E"/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70511E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70511E"/>
    <w:rPr>
      <w:rFonts w:ascii="Calibri" w:eastAsia="宋体" w:hAnsi="Calibri" w:cs="Times New Roman"/>
      <w:sz w:val="18"/>
      <w:szCs w:val="18"/>
    </w:rPr>
  </w:style>
  <w:style w:type="character" w:styleId="a6">
    <w:name w:val="footnote reference"/>
    <w:uiPriority w:val="99"/>
    <w:unhideWhenUsed/>
    <w:qFormat/>
    <w:rsid w:val="0070511E"/>
    <w:rPr>
      <w:vertAlign w:val="superscript"/>
    </w:rPr>
  </w:style>
  <w:style w:type="character" w:customStyle="1" w:styleId="Char10">
    <w:name w:val="脚注文本 Char1"/>
    <w:basedOn w:val="a0"/>
    <w:uiPriority w:val="99"/>
    <w:rsid w:val="005F058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F058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0584"/>
    <w:rPr>
      <w:rFonts w:asciiTheme="minorHAnsi" w:eastAsiaTheme="minorEastAsia" w:hAnsiTheme="minorHAnsi"/>
      <w:sz w:val="18"/>
      <w:szCs w:val="18"/>
    </w:rPr>
  </w:style>
  <w:style w:type="paragraph" w:styleId="a8">
    <w:name w:val="List Paragraph"/>
    <w:basedOn w:val="a"/>
    <w:uiPriority w:val="34"/>
    <w:qFormat/>
    <w:rsid w:val="005F0584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5F0584"/>
  </w:style>
  <w:style w:type="paragraph" w:customStyle="1" w:styleId="Default">
    <w:name w:val="Default"/>
    <w:rsid w:val="005F0584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character" w:customStyle="1" w:styleId="10">
    <w:name w:val="脚注文本 字符1"/>
    <w:uiPriority w:val="99"/>
    <w:rsid w:val="005F0584"/>
    <w:rPr>
      <w:rFonts w:ascii="仿宋" w:eastAsia="仿宋" w:hAnsi="仿宋"/>
      <w:sz w:val="18"/>
    </w:rPr>
  </w:style>
  <w:style w:type="character" w:styleId="a9">
    <w:name w:val="annotation reference"/>
    <w:basedOn w:val="a0"/>
    <w:uiPriority w:val="99"/>
    <w:semiHidden/>
    <w:unhideWhenUsed/>
    <w:rsid w:val="005F0584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5F0584"/>
    <w:pPr>
      <w:jc w:val="left"/>
    </w:pPr>
    <w:rPr>
      <w:rFonts w:ascii="Times New Roman" w:eastAsia="仿宋" w:hAnsi="Times New Roman"/>
      <w:sz w:val="32"/>
    </w:rPr>
  </w:style>
  <w:style w:type="character" w:customStyle="1" w:styleId="Char3">
    <w:name w:val="批注文字 Char"/>
    <w:basedOn w:val="a0"/>
    <w:link w:val="aa"/>
    <w:uiPriority w:val="99"/>
    <w:rsid w:val="005F0584"/>
    <w:rPr>
      <w:rFonts w:ascii="Times New Roman" w:hAnsi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F0584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F0584"/>
    <w:rPr>
      <w:rFonts w:ascii="Times New Roman" w:hAnsi="Times New Roman"/>
      <w:b/>
      <w:bCs/>
    </w:rPr>
  </w:style>
  <w:style w:type="paragraph" w:styleId="ac">
    <w:name w:val="Revision"/>
    <w:hidden/>
    <w:uiPriority w:val="99"/>
    <w:semiHidden/>
    <w:rsid w:val="005F0584"/>
    <w:rPr>
      <w:rFonts w:ascii="Times New Roman" w:hAnsi="Times New Roman"/>
    </w:rPr>
  </w:style>
  <w:style w:type="table" w:styleId="ad">
    <w:name w:val="Table Grid"/>
    <w:basedOn w:val="a1"/>
    <w:uiPriority w:val="39"/>
    <w:rsid w:val="005F0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5F0584"/>
    <w:pPr>
      <w:ind w:firstLineChars="200" w:firstLine="640"/>
    </w:pPr>
    <w:rPr>
      <w:rFonts w:asciiTheme="majorHAnsi" w:eastAsia="黑体" w:hAnsiTheme="majorHAnsi" w:cstheme="majorBidi"/>
      <w:sz w:val="20"/>
      <w:szCs w:val="20"/>
    </w:rPr>
  </w:style>
  <w:style w:type="paragraph" w:customStyle="1" w:styleId="af">
    <w:name w:val="图例"/>
    <w:basedOn w:val="a"/>
    <w:link w:val="af0"/>
    <w:qFormat/>
    <w:rsid w:val="005F0584"/>
    <w:pPr>
      <w:jc w:val="center"/>
    </w:pPr>
    <w:rPr>
      <w:rFonts w:asciiTheme="majorHAnsi" w:eastAsia="黑体" w:hAnsiTheme="majorHAnsi" w:cstheme="majorBidi"/>
      <w:sz w:val="20"/>
      <w:szCs w:val="20"/>
    </w:rPr>
  </w:style>
  <w:style w:type="character" w:customStyle="1" w:styleId="af0">
    <w:name w:val="图例 字符"/>
    <w:basedOn w:val="a0"/>
    <w:link w:val="af"/>
    <w:rsid w:val="005F058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iujz\Desktop\&#25968;&#25454;\&#24180;&#25253;%20&#22270;3-9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iujz\Desktop\&#25968;&#25454;\&#24180;&#25253;%20&#22270;3-9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'图3-9'!$B$1</c:f>
              <c:strCache>
                <c:ptCount val="1"/>
                <c:pt idx="0">
                  <c:v>基金公司管理的全国社保基金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5843761850587698E-3"/>
                  <c:y val="4.278074866310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78-429A-B79F-C1E7EC82754E}"/>
                </c:ext>
              </c:extLst>
            </c:dLbl>
            <c:dLbl>
              <c:idx val="1"/>
              <c:layout>
                <c:manualLayout>
                  <c:x val="-9.4804702313234738E-3"/>
                  <c:y val="3.5650623885918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78-429A-B79F-C1E7EC82754E}"/>
                </c:ext>
              </c:extLst>
            </c:dLbl>
            <c:dLbl>
              <c:idx val="2"/>
              <c:layout>
                <c:manualLayout>
                  <c:x val="-1.8960940462646946E-3"/>
                  <c:y val="4.6345811051693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78-429A-B79F-C1E7EC82754E}"/>
                </c:ext>
              </c:extLst>
            </c:dLbl>
            <c:dLbl>
              <c:idx val="3"/>
              <c:layout>
                <c:manualLayout>
                  <c:x val="-1.8960940462646946E-3"/>
                  <c:y val="6.7736185383244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78-429A-B79F-C1E7EC82754E}"/>
                </c:ext>
              </c:extLst>
            </c:dLbl>
            <c:dLbl>
              <c:idx val="4"/>
              <c:layout>
                <c:manualLayout>
                  <c:x val="-5.6882821387940841E-3"/>
                  <c:y val="6.4171122994652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78-429A-B79F-C1E7EC82754E}"/>
                </c:ext>
              </c:extLst>
            </c:dLbl>
            <c:dLbl>
              <c:idx val="5"/>
              <c:layout>
                <c:manualLayout>
                  <c:x val="-5.6882821387940841E-3"/>
                  <c:y val="6.4171122994652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78-429A-B79F-C1E7EC82754E}"/>
                </c:ext>
              </c:extLst>
            </c:dLbl>
            <c:dLbl>
              <c:idx val="6"/>
              <c:layout>
                <c:manualLayout>
                  <c:x val="-1.8574080966905228E-3"/>
                  <c:y val="7.4866310160427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78-429A-B79F-C1E7EC827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'图3-9'!$A$2:$A$8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'图3-9'!$B$2:$B$8</c:f>
              <c:numCache>
                <c:formatCode>General</c:formatCode>
                <c:ptCount val="7"/>
                <c:pt idx="0">
                  <c:v>3017.25</c:v>
                </c:pt>
                <c:pt idx="1">
                  <c:v>3777.71</c:v>
                </c:pt>
                <c:pt idx="2">
                  <c:v>4519.25</c:v>
                </c:pt>
                <c:pt idx="3">
                  <c:v>6085.17</c:v>
                </c:pt>
                <c:pt idx="4">
                  <c:v>8111.32</c:v>
                </c:pt>
                <c:pt idx="5">
                  <c:v>8651</c:v>
                </c:pt>
                <c:pt idx="6">
                  <c:v>9972.27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978-429A-B79F-C1E7EC82754E}"/>
            </c:ext>
          </c:extLst>
        </c:ser>
        <c:ser>
          <c:idx val="1"/>
          <c:order val="1"/>
          <c:tx>
            <c:strRef>
              <c:f>'图3-9'!$C$1</c:f>
              <c:strCache>
                <c:ptCount val="1"/>
                <c:pt idx="0">
                  <c:v>全国社保基金委托投资规模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6951871657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78-429A-B79F-C1E7EC82754E}"/>
                </c:ext>
              </c:extLst>
            </c:dLbl>
            <c:dLbl>
              <c:idx val="1"/>
              <c:layout>
                <c:manualLayout>
                  <c:x val="0"/>
                  <c:y val="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78-429A-B79F-C1E7EC82754E}"/>
                </c:ext>
              </c:extLst>
            </c:dLbl>
            <c:dLbl>
              <c:idx val="2"/>
              <c:layout>
                <c:manualLayout>
                  <c:x val="0"/>
                  <c:y val="2.4955436720142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78-429A-B79F-C1E7EC82754E}"/>
                </c:ext>
              </c:extLst>
            </c:dLbl>
            <c:dLbl>
              <c:idx val="3"/>
              <c:layout>
                <c:manualLayout>
                  <c:x val="0"/>
                  <c:y val="2.852049910873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78-429A-B79F-C1E7EC82754E}"/>
                </c:ext>
              </c:extLst>
            </c:dLbl>
            <c:dLbl>
              <c:idx val="4"/>
              <c:layout>
                <c:manualLayout>
                  <c:x val="0"/>
                  <c:y val="2.139037433155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978-429A-B79F-C1E7EC82754E}"/>
                </c:ext>
              </c:extLst>
            </c:dLbl>
            <c:dLbl>
              <c:idx val="5"/>
              <c:layout>
                <c:manualLayout>
                  <c:x val="-1.8960940462646946E-3"/>
                  <c:y val="6.4171122994652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78-429A-B79F-C1E7EC82754E}"/>
                </c:ext>
              </c:extLst>
            </c:dLbl>
            <c:dLbl>
              <c:idx val="6"/>
              <c:layout>
                <c:manualLayout>
                  <c:x val="7.4296323867620914E-3"/>
                  <c:y val="9.625668449197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978-429A-B79F-C1E7EC827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'图3-9'!$A$2:$A$8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'图3-9'!$C$2:$C$8</c:f>
              <c:numCache>
                <c:formatCode>General</c:formatCode>
                <c:ptCount val="7"/>
                <c:pt idx="0">
                  <c:v>3647.08</c:v>
                </c:pt>
                <c:pt idx="1">
                  <c:v>4553.7</c:v>
                </c:pt>
                <c:pt idx="2">
                  <c:v>5717.9</c:v>
                </c:pt>
                <c:pt idx="3">
                  <c:v>7638.27</c:v>
                </c:pt>
                <c:pt idx="4">
                  <c:v>10356.44</c:v>
                </c:pt>
                <c:pt idx="5">
                  <c:v>11029.72</c:v>
                </c:pt>
                <c:pt idx="6">
                  <c:v>12816.33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C978-429A-B79F-C1E7EC82754E}"/>
            </c:ext>
          </c:extLst>
        </c:ser>
        <c:ser>
          <c:idx val="2"/>
          <c:order val="2"/>
          <c:tx>
            <c:strRef>
              <c:f>'图3-9'!$D$1</c:f>
              <c:strCache>
                <c:ptCount val="1"/>
                <c:pt idx="0">
                  <c:v>全国社保基金总规模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870370370370367E-3"/>
                  <c:y val="7.271335629544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978-429A-B79F-C1E7EC82754E}"/>
                </c:ext>
              </c:extLst>
            </c:dLbl>
            <c:dLbl>
              <c:idx val="4"/>
              <c:layout>
                <c:manualLayout>
                  <c:x val="1.8960940462646946E-3"/>
                  <c:y val="3.5650623885918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978-429A-B79F-C1E7EC82754E}"/>
                </c:ext>
              </c:extLst>
            </c:dLbl>
            <c:dLbl>
              <c:idx val="5"/>
              <c:layout>
                <c:manualLayout>
                  <c:x val="-1.8960940462646946E-3"/>
                  <c:y val="4.278074866310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978-429A-B79F-C1E7EC82754E}"/>
                </c:ext>
              </c:extLst>
            </c:dLbl>
            <c:dLbl>
              <c:idx val="6"/>
              <c:layout>
                <c:manualLayout>
                  <c:x val="-3.7148161933810457E-3"/>
                  <c:y val="7.8431372549019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978-429A-B79F-C1E7EC827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'图3-9'!$A$2:$A$8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'图3-9'!$D$2:$D$8</c:f>
              <c:numCache>
                <c:formatCode>General</c:formatCode>
                <c:ptCount val="7"/>
                <c:pt idx="0">
                  <c:v>8688.2000000000007</c:v>
                </c:pt>
                <c:pt idx="1">
                  <c:v>11060.37</c:v>
                </c:pt>
                <c:pt idx="2">
                  <c:v>12415.64</c:v>
                </c:pt>
                <c:pt idx="3">
                  <c:v>15356.39</c:v>
                </c:pt>
                <c:pt idx="4">
                  <c:v>19138.21</c:v>
                </c:pt>
                <c:pt idx="5">
                  <c:v>20423.28</c:v>
                </c:pt>
                <c:pt idx="6">
                  <c:v>22231.24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C978-429A-B79F-C1E7EC827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442944"/>
        <c:axId val="365444480"/>
      </c:barChart>
      <c:lineChart>
        <c:grouping val="standard"/>
        <c:varyColors val="0"/>
        <c:ser>
          <c:idx val="3"/>
          <c:order val="3"/>
          <c:tx>
            <c:strRef>
              <c:f>'图3-9'!$E$1</c:f>
              <c:strCache>
                <c:ptCount val="1"/>
                <c:pt idx="0">
                  <c:v>基金公司管理规模与总规模之比</c:v>
                </c:pt>
              </c:strCache>
            </c:strRef>
          </c:tx>
          <c:dLbls>
            <c:dLbl>
              <c:idx val="0"/>
              <c:layout>
                <c:manualLayout>
                  <c:x val="-1.9290123456790122E-3"/>
                  <c:y val="-2.2962112514351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978-429A-B79F-C1E7EC82754E}"/>
                </c:ext>
              </c:extLst>
            </c:dLbl>
            <c:dLbl>
              <c:idx val="1"/>
              <c:layout>
                <c:manualLayout>
                  <c:x val="-3.2233598786499777E-2"/>
                  <c:y val="-3.208556149732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978-429A-B79F-C1E7EC82754E}"/>
                </c:ext>
              </c:extLst>
            </c:dLbl>
            <c:dLbl>
              <c:idx val="2"/>
              <c:layout>
                <c:manualLayout>
                  <c:x val="-4.5506257110352673E-2"/>
                  <c:y val="-2.852049910873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978-429A-B79F-C1E7EC82754E}"/>
                </c:ext>
              </c:extLst>
            </c:dLbl>
            <c:dLbl>
              <c:idx val="3"/>
              <c:layout>
                <c:manualLayout>
                  <c:x val="-4.3610163064087909E-2"/>
                  <c:y val="-2.852049910873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978-429A-B79F-C1E7EC82754E}"/>
                </c:ext>
              </c:extLst>
            </c:dLbl>
            <c:dLbl>
              <c:idx val="4"/>
              <c:layout>
                <c:manualLayout>
                  <c:x val="-4.1714069017823284E-2"/>
                  <c:y val="-4.278074866310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978-429A-B79F-C1E7EC82754E}"/>
                </c:ext>
              </c:extLst>
            </c:dLbl>
            <c:dLbl>
              <c:idx val="5"/>
              <c:layout>
                <c:manualLayout>
                  <c:x val="-5.1194539249146756E-2"/>
                  <c:y val="-3.5650623885918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978-429A-B79F-C1E7EC82754E}"/>
                </c:ext>
              </c:extLst>
            </c:dLbl>
            <c:dLbl>
              <c:idx val="6"/>
              <c:layout>
                <c:manualLayout>
                  <c:x val="-4.0862978127191502E-2"/>
                  <c:y val="-4.2780748663101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978-429A-B79F-C1E7EC82754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'图3-9'!$A$2:$A$8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'图3-9'!$E$2:$E$8</c:f>
              <c:numCache>
                <c:formatCode>General</c:formatCode>
                <c:ptCount val="7"/>
                <c:pt idx="0">
                  <c:v>0.34728137013420496</c:v>
                </c:pt>
                <c:pt idx="1">
                  <c:v>0.3415536731592162</c:v>
                </c:pt>
                <c:pt idx="2">
                  <c:v>0.36399653984812708</c:v>
                </c:pt>
                <c:pt idx="3">
                  <c:v>0.3962630540120432</c:v>
                </c:pt>
                <c:pt idx="4">
                  <c:v>0.42382856076926734</c:v>
                </c:pt>
                <c:pt idx="5">
                  <c:v>0.42358524193959052</c:v>
                </c:pt>
                <c:pt idx="6">
                  <c:v>0.44857012024520448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C-C978-429A-B79F-C1E7EC82754E}"/>
            </c:ext>
          </c:extLst>
        </c:ser>
        <c:ser>
          <c:idx val="4"/>
          <c:order val="4"/>
          <c:tx>
            <c:strRef>
              <c:f>'图3-9'!$F$1</c:f>
              <c:strCache>
                <c:ptCount val="1"/>
                <c:pt idx="0">
                  <c:v>基金公司管理规模与委托投资规模之比</c:v>
                </c:pt>
              </c:strCache>
            </c:strRef>
          </c:tx>
          <c:dLbls>
            <c:dLbl>
              <c:idx val="1"/>
              <c:layout>
                <c:manualLayout>
                  <c:x val="-1.4128396046706149E-2"/>
                  <c:y val="-9.3149191565501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978-429A-B79F-C1E7EC82754E}"/>
                </c:ext>
              </c:extLst>
            </c:dLbl>
            <c:dLbl>
              <c:idx val="2"/>
              <c:layout>
                <c:manualLayout>
                  <c:x val="-1.3272658323852863E-2"/>
                  <c:y val="-3.208556149732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978-429A-B79F-C1E7EC82754E}"/>
                </c:ext>
              </c:extLst>
            </c:dLbl>
            <c:dLbl>
              <c:idx val="3"/>
              <c:layout>
                <c:manualLayout>
                  <c:x val="-5.6882821387940147E-3"/>
                  <c:y val="-3.2085561497326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978-429A-B79F-C1E7EC82754E}"/>
                </c:ext>
              </c:extLst>
            </c:dLbl>
            <c:dLbl>
              <c:idx val="4"/>
              <c:layout>
                <c:manualLayout>
                  <c:x val="0"/>
                  <c:y val="-2.852049910873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978-429A-B79F-C1E7EC82754E}"/>
                </c:ext>
              </c:extLst>
            </c:dLbl>
            <c:dLbl>
              <c:idx val="5"/>
              <c:layout>
                <c:manualLayout>
                  <c:x val="-7.5843761850587785E-3"/>
                  <c:y val="-3.208556149732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978-429A-B79F-C1E7EC82754E}"/>
                </c:ext>
              </c:extLst>
            </c:dLbl>
            <c:dLbl>
              <c:idx val="6"/>
              <c:layout>
                <c:manualLayout>
                  <c:x val="-2.4146305256976797E-2"/>
                  <c:y val="-2.852049910873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978-429A-B79F-C1E7EC82754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'图3-9'!$A$2:$A$8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'图3-9'!$F$2:$F$8</c:f>
              <c:numCache>
                <c:formatCode>General</c:formatCode>
                <c:ptCount val="7"/>
                <c:pt idx="0">
                  <c:v>0.82730568016056683</c:v>
                </c:pt>
                <c:pt idx="1">
                  <c:v>0.82959132134308367</c:v>
                </c:pt>
                <c:pt idx="2">
                  <c:v>0.79036884170762001</c:v>
                </c:pt>
                <c:pt idx="3">
                  <c:v>0.79666861737016359</c:v>
                </c:pt>
                <c:pt idx="4">
                  <c:v>0.78321508163036713</c:v>
                </c:pt>
                <c:pt idx="5">
                  <c:v>0.78433541377296978</c:v>
                </c:pt>
                <c:pt idx="6">
                  <c:v>0.77809091994354085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3-C978-429A-B79F-C1E7EC827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542016"/>
        <c:axId val="365540480"/>
      </c:lineChart>
      <c:catAx>
        <c:axId val="36544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5444480"/>
        <c:crosses val="autoZero"/>
        <c:auto val="1"/>
        <c:lblAlgn val="ctr"/>
        <c:lblOffset val="100"/>
        <c:noMultiLvlLbl val="0"/>
      </c:catAx>
      <c:valAx>
        <c:axId val="36544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442944"/>
        <c:crosses val="autoZero"/>
        <c:crossBetween val="between"/>
      </c:valAx>
      <c:valAx>
        <c:axId val="365540480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crossAx val="365542016"/>
        <c:crosses val="max"/>
        <c:crossBetween val="between"/>
        <c:majorUnit val="0.1"/>
        <c:minorUnit val="2.0000000000000004E-2"/>
      </c:valAx>
      <c:catAx>
        <c:axId val="365542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5540480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900"/>
          </a:pPr>
          <a:endParaRPr lang="zh-CN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903311188530156E-2"/>
          <c:y val="3.0808230444042996E-2"/>
          <c:w val="0.85387301244155456"/>
          <c:h val="0.77480639159021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'最下方图3-11'!$A$45</c:f>
              <c:strCache>
                <c:ptCount val="1"/>
                <c:pt idx="0">
                  <c:v>委托管理规模/亿元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numRef>
              <c:f>'最下方图3-11'!$B$44:$P$44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'最下方图3-11'!$B$45:$P$45</c:f>
              <c:numCache>
                <c:formatCode>General</c:formatCode>
                <c:ptCount val="15"/>
                <c:pt idx="0">
                  <c:v>318.87</c:v>
                </c:pt>
                <c:pt idx="1">
                  <c:v>612.66999999999996</c:v>
                </c:pt>
                <c:pt idx="2">
                  <c:v>730.29</c:v>
                </c:pt>
                <c:pt idx="3">
                  <c:v>1056.6400000000001</c:v>
                </c:pt>
                <c:pt idx="4">
                  <c:v>2069.4</c:v>
                </c:pt>
                <c:pt idx="5">
                  <c:v>2565.81</c:v>
                </c:pt>
                <c:pt idx="6">
                  <c:v>3621.15</c:v>
                </c:pt>
                <c:pt idx="7">
                  <c:v>3589.34</c:v>
                </c:pt>
                <c:pt idx="8">
                  <c:v>3647.08</c:v>
                </c:pt>
                <c:pt idx="9">
                  <c:v>4553.7</c:v>
                </c:pt>
                <c:pt idx="10">
                  <c:v>5717.9</c:v>
                </c:pt>
                <c:pt idx="11">
                  <c:v>7638.27</c:v>
                </c:pt>
                <c:pt idx="12" formatCode="#,##0.00">
                  <c:v>10356.44</c:v>
                </c:pt>
                <c:pt idx="13">
                  <c:v>11029.7</c:v>
                </c:pt>
                <c:pt idx="14">
                  <c:v>12816.33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A1-4D97-97BA-400C58920683}"/>
            </c:ext>
          </c:extLst>
        </c:ser>
        <c:ser>
          <c:idx val="1"/>
          <c:order val="1"/>
          <c:tx>
            <c:strRef>
              <c:f>'最下方图3-11'!$A$46</c:f>
              <c:strCache>
                <c:ptCount val="1"/>
                <c:pt idx="0">
                  <c:v>总规模/亿元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numRef>
              <c:f>'最下方图3-11'!$B$44:$P$44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'最下方图3-11'!$B$46:$P$46</c:f>
              <c:numCache>
                <c:formatCode>General</c:formatCode>
                <c:ptCount val="15"/>
                <c:pt idx="0">
                  <c:v>1325.01</c:v>
                </c:pt>
                <c:pt idx="1">
                  <c:v>1711.44</c:v>
                </c:pt>
                <c:pt idx="2">
                  <c:v>2117.87</c:v>
                </c:pt>
                <c:pt idx="3">
                  <c:v>2827.69</c:v>
                </c:pt>
                <c:pt idx="4">
                  <c:v>4396.9399999999996</c:v>
                </c:pt>
                <c:pt idx="5">
                  <c:v>5623.7</c:v>
                </c:pt>
                <c:pt idx="6">
                  <c:v>7766.22</c:v>
                </c:pt>
                <c:pt idx="7">
                  <c:v>8566.9</c:v>
                </c:pt>
                <c:pt idx="8">
                  <c:v>8688.2000000000007</c:v>
                </c:pt>
                <c:pt idx="9">
                  <c:v>11060.37</c:v>
                </c:pt>
                <c:pt idx="10">
                  <c:v>12415.64</c:v>
                </c:pt>
                <c:pt idx="11">
                  <c:v>15356.39</c:v>
                </c:pt>
                <c:pt idx="12">
                  <c:v>19138.21</c:v>
                </c:pt>
                <c:pt idx="13">
                  <c:v>20423.28</c:v>
                </c:pt>
                <c:pt idx="14">
                  <c:v>22231.24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A1-4D97-97BA-400C58920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642112"/>
        <c:axId val="365643648"/>
      </c:barChart>
      <c:lineChart>
        <c:grouping val="standard"/>
        <c:varyColors val="0"/>
        <c:ser>
          <c:idx val="2"/>
          <c:order val="2"/>
          <c:tx>
            <c:strRef>
              <c:f>'最下方图3-11'!$A$47</c:f>
              <c:strCache>
                <c:ptCount val="1"/>
                <c:pt idx="0">
                  <c:v>委托规模占比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'最下方图3-11'!$B$44:$P$44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'最下方图3-11'!$B$47:$P$47</c:f>
              <c:numCache>
                <c:formatCode>0.0%</c:formatCode>
                <c:ptCount val="15"/>
                <c:pt idx="0">
                  <c:v>0.24065478751103767</c:v>
                </c:pt>
                <c:pt idx="1">
                  <c:v>0.3579850885803767</c:v>
                </c:pt>
                <c:pt idx="2">
                  <c:v>0.34482286448176708</c:v>
                </c:pt>
                <c:pt idx="3">
                  <c:v>0.37367603945269817</c:v>
                </c:pt>
                <c:pt idx="4">
                  <c:v>0.4706454943665368</c:v>
                </c:pt>
                <c:pt idx="5">
                  <c:v>0.45624944431601971</c:v>
                </c:pt>
                <c:pt idx="6">
                  <c:v>0.46626930475829942</c:v>
                </c:pt>
                <c:pt idx="7">
                  <c:v>0.41897769321458173</c:v>
                </c:pt>
                <c:pt idx="8">
                  <c:v>0.41977394627195502</c:v>
                </c:pt>
                <c:pt idx="9">
                  <c:v>0.41171317053588619</c:v>
                </c:pt>
                <c:pt idx="10">
                  <c:v>0.46054009297950005</c:v>
                </c:pt>
                <c:pt idx="11">
                  <c:v>0.49740010510282695</c:v>
                </c:pt>
                <c:pt idx="12">
                  <c:v>0.54113942735501397</c:v>
                </c:pt>
                <c:pt idx="13">
                  <c:v>0.54005527026021294</c:v>
                </c:pt>
                <c:pt idx="14">
                  <c:v>0.57650090593237258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0A1-4D97-97BA-400C58920683}"/>
            </c:ext>
          </c:extLst>
        </c:ser>
        <c:ser>
          <c:idx val="3"/>
          <c:order val="3"/>
          <c:tx>
            <c:strRef>
              <c:f>'最下方图3-11'!$A$48</c:f>
              <c:strCache>
                <c:ptCount val="1"/>
                <c:pt idx="0">
                  <c:v>历史年化收益率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'最下方图3-11'!$B$44:$P$44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'最下方图3-11'!$B$48:$P$48</c:f>
              <c:numCache>
                <c:formatCode>General</c:formatCode>
                <c:ptCount val="15"/>
                <c:pt idx="5" formatCode="0.0%">
                  <c:v>0.09</c:v>
                </c:pt>
                <c:pt idx="6" formatCode="0.0%">
                  <c:v>9.8000000000000004E-2</c:v>
                </c:pt>
                <c:pt idx="7" formatCode="0.0%">
                  <c:v>9.1999999999999998E-2</c:v>
                </c:pt>
                <c:pt idx="8" formatCode="0.0%">
                  <c:v>8.4000000000000005E-2</c:v>
                </c:pt>
                <c:pt idx="9" formatCode="0.0%">
                  <c:v>8.3000000000000004E-2</c:v>
                </c:pt>
                <c:pt idx="10" formatCode="0.0%">
                  <c:v>8.1000000000000003E-2</c:v>
                </c:pt>
                <c:pt idx="11" formatCode="0.0%">
                  <c:v>8.4000000000000005E-2</c:v>
                </c:pt>
                <c:pt idx="12" formatCode="0.0%">
                  <c:v>8.7999999999999995E-2</c:v>
                </c:pt>
                <c:pt idx="13" formatCode="0.0%">
                  <c:v>8.3699999999999997E-2</c:v>
                </c:pt>
                <c:pt idx="14" formatCode="0.00%">
                  <c:v>8.4400000000000003E-2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0A1-4D97-97BA-400C58920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651072"/>
        <c:axId val="365645184"/>
      </c:lineChart>
      <c:catAx>
        <c:axId val="36564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5643648"/>
        <c:crosses val="autoZero"/>
        <c:auto val="1"/>
        <c:lblAlgn val="ctr"/>
        <c:lblOffset val="100"/>
        <c:noMultiLvlLbl val="0"/>
      </c:catAx>
      <c:valAx>
        <c:axId val="36564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5642112"/>
        <c:crosses val="autoZero"/>
        <c:crossBetween val="between"/>
        <c:majorUnit val="2000"/>
      </c:valAx>
      <c:valAx>
        <c:axId val="365645184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365651072"/>
        <c:crosses val="max"/>
        <c:crossBetween val="between"/>
        <c:majorUnit val="5.000000000000001E-2"/>
      </c:valAx>
      <c:catAx>
        <c:axId val="365651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564518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3.5550862372404082E-2"/>
          <c:y val="0.89912348550198362"/>
          <c:w val="0.89686730024639216"/>
          <c:h val="8.694177807726156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zh-CN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基金公司管理的企业年金规模/亿元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1445.26</c:v>
                </c:pt>
                <c:pt idx="1">
                  <c:v>1886.33</c:v>
                </c:pt>
                <c:pt idx="2">
                  <c:v>2444.9699999999998</c:v>
                </c:pt>
                <c:pt idx="3">
                  <c:v>2972.75</c:v>
                </c:pt>
                <c:pt idx="4">
                  <c:v>3641.98</c:v>
                </c:pt>
                <c:pt idx="5">
                  <c:v>4055.11</c:v>
                </c:pt>
                <c:pt idx="6">
                  <c:v>4570.91</c:v>
                </c:pt>
                <c:pt idx="7" formatCode="0.00">
                  <c:v>5169.6977440000001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0D-4A57-AF84-C28F92C829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企业年金委托投资规模/亿元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3325.48</c:v>
                </c:pt>
                <c:pt idx="1">
                  <c:v>4451.62</c:v>
                </c:pt>
                <c:pt idx="2">
                  <c:v>5783.6</c:v>
                </c:pt>
                <c:pt idx="3">
                  <c:v>7402.75</c:v>
                </c:pt>
                <c:pt idx="4">
                  <c:v>9260.2999999999993</c:v>
                </c:pt>
                <c:pt idx="5">
                  <c:v>10673.04</c:v>
                </c:pt>
                <c:pt idx="6">
                  <c:v>12391.3</c:v>
                </c:pt>
                <c:pt idx="7">
                  <c:v>14229.9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0D-4A57-AF84-C28F92C82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676800"/>
        <c:axId val="36569088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占比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Sheet1!$D$2:$D$9</c:f>
              <c:numCache>
                <c:formatCode>0.0%</c:formatCode>
                <c:ptCount val="8"/>
                <c:pt idx="0">
                  <c:v>0.43460192212853482</c:v>
                </c:pt>
                <c:pt idx="1">
                  <c:v>0.42374012157371921</c:v>
                </c:pt>
                <c:pt idx="2">
                  <c:v>0.4227418908638218</c:v>
                </c:pt>
                <c:pt idx="3">
                  <c:v>0.40157373948870351</c:v>
                </c:pt>
                <c:pt idx="4">
                  <c:v>0.39328963424511088</c:v>
                </c:pt>
                <c:pt idx="5">
                  <c:v>0.3799395486196997</c:v>
                </c:pt>
                <c:pt idx="6">
                  <c:v>0.36888058557213532</c:v>
                </c:pt>
                <c:pt idx="7">
                  <c:v>0.36329824833624974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20D-4A57-AF84-C28F92C82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693952"/>
        <c:axId val="365692416"/>
      </c:lineChart>
      <c:catAx>
        <c:axId val="3656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65690880"/>
        <c:crosses val="autoZero"/>
        <c:auto val="1"/>
        <c:lblAlgn val="ctr"/>
        <c:lblOffset val="100"/>
        <c:noMultiLvlLbl val="0"/>
      </c:catAx>
      <c:valAx>
        <c:axId val="36569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65676800"/>
        <c:crosses val="autoZero"/>
        <c:crossBetween val="between"/>
      </c:valAx>
      <c:valAx>
        <c:axId val="365692416"/>
        <c:scaling>
          <c:orientation val="minMax"/>
          <c:min val="0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65693952"/>
        <c:crosses val="max"/>
        <c:crossBetween val="between"/>
      </c:valAx>
      <c:catAx>
        <c:axId val="365693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65692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刘净姿 :拟稿</dc:creator>
  <cp:lastModifiedBy>靳珂语:岗位负责人</cp:lastModifiedBy>
  <cp:revision>8</cp:revision>
  <cp:lastPrinted>2019-09-27T07:58:00Z</cp:lastPrinted>
  <dcterms:created xsi:type="dcterms:W3CDTF">2019-09-26T02:38:00Z</dcterms:created>
  <dcterms:modified xsi:type="dcterms:W3CDTF">2019-09-27T13:34:00Z</dcterms:modified>
</cp:coreProperties>
</file>