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B8" w:rsidRDefault="004A5EB8" w:rsidP="004A5EB8">
      <w:pPr>
        <w:spacing w:line="560" w:lineRule="exact"/>
        <w:textAlignment w:val="baseline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附表1</w:t>
      </w:r>
      <w:r w:rsidRPr="00223E8D">
        <w:rPr>
          <w:rFonts w:ascii="楷体" w:eastAsia="楷体" w:hAnsi="楷体" w:hint="eastAsia"/>
          <w:b/>
          <w:sz w:val="28"/>
          <w:szCs w:val="28"/>
        </w:rPr>
        <w:t>：</w:t>
      </w:r>
      <w:r w:rsidRPr="00223E8D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全球开放式基金资产净值、净销售额及基金数目统计表</w:t>
      </w:r>
    </w:p>
    <w:p w:rsidR="004A5EB8" w:rsidRDefault="004A5EB8" w:rsidP="004A5EB8">
      <w:pPr>
        <w:spacing w:line="560" w:lineRule="exact"/>
        <w:textAlignment w:val="baseline"/>
        <w:rPr>
          <w:rFonts w:ascii="仿宋" w:eastAsia="仿宋" w:hAnsi="仿宋" w:cs="Arial"/>
          <w:kern w:val="0"/>
          <w:sz w:val="22"/>
          <w:szCs w:val="22"/>
        </w:rPr>
      </w:pPr>
      <w:r w:rsidRPr="0055613B">
        <w:rPr>
          <w:rFonts w:ascii="仿宋" w:eastAsia="仿宋" w:hAnsi="仿宋" w:cs="Arial" w:hint="eastAsia"/>
          <w:kern w:val="0"/>
          <w:sz w:val="22"/>
          <w:szCs w:val="22"/>
        </w:rPr>
        <w:t>截至</w:t>
      </w:r>
      <w:r>
        <w:rPr>
          <w:rFonts w:ascii="仿宋" w:eastAsia="仿宋" w:hAnsi="仿宋" w:cs="Arial" w:hint="eastAsia"/>
          <w:kern w:val="0"/>
          <w:sz w:val="22"/>
          <w:szCs w:val="22"/>
        </w:rPr>
        <w:t>2016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>年第</w:t>
      </w:r>
      <w:r>
        <w:rPr>
          <w:rFonts w:ascii="仿宋" w:eastAsia="仿宋" w:hAnsi="仿宋" w:cs="Arial" w:hint="eastAsia"/>
          <w:kern w:val="0"/>
          <w:sz w:val="22"/>
          <w:szCs w:val="22"/>
        </w:rPr>
        <w:t>二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 xml:space="preserve">季度末                 </w:t>
      </w:r>
      <w:r w:rsidRPr="0055613B">
        <w:rPr>
          <w:rFonts w:ascii="楷体" w:eastAsia="楷体" w:hAnsi="楷体" w:cs="Arial" w:hint="eastAsia"/>
          <w:bCs/>
          <w:kern w:val="0"/>
          <w:sz w:val="28"/>
          <w:szCs w:val="28"/>
        </w:rPr>
        <w:t xml:space="preserve">                   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>单位：百万美元</w:t>
      </w:r>
    </w:p>
    <w:p w:rsidR="004A5EB8" w:rsidRPr="00C3555D" w:rsidRDefault="004A5EB8" w:rsidP="004A5EB8">
      <w:pPr>
        <w:spacing w:line="320" w:lineRule="exact"/>
        <w:textAlignment w:val="baseline"/>
        <w:rPr>
          <w:rFonts w:ascii="楷体" w:eastAsia="楷体" w:hAnsi="楷体" w:cs="Arial"/>
          <w:bCs/>
          <w:kern w:val="0"/>
          <w:sz w:val="18"/>
          <w:szCs w:val="18"/>
        </w:rPr>
      </w:pPr>
    </w:p>
    <w:tbl>
      <w:tblPr>
        <w:tblW w:w="9272" w:type="dxa"/>
        <w:tblInd w:w="-176" w:type="dxa"/>
        <w:tblLook w:val="04A0" w:firstRow="1" w:lastRow="0" w:firstColumn="1" w:lastColumn="0" w:noHBand="0" w:noVBand="1"/>
      </w:tblPr>
      <w:tblGrid>
        <w:gridCol w:w="284"/>
        <w:gridCol w:w="148"/>
        <w:gridCol w:w="1553"/>
        <w:gridCol w:w="1130"/>
        <w:gridCol w:w="1138"/>
        <w:gridCol w:w="1329"/>
        <w:gridCol w:w="1223"/>
        <w:gridCol w:w="1138"/>
        <w:gridCol w:w="1329"/>
      </w:tblGrid>
      <w:tr w:rsidR="004A5EB8" w:rsidRPr="000075D1" w:rsidTr="006D3D04">
        <w:trPr>
          <w:trHeight w:hRule="exact" w:val="28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不包括</w:t>
            </w:r>
            <w:r w:rsidRPr="006E4420"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  <w:t>FOF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包括</w:t>
            </w:r>
            <w:r w:rsidRPr="006E4420"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  <w:t>FOF</w:t>
            </w:r>
          </w:p>
        </w:tc>
      </w:tr>
      <w:tr w:rsidR="004A5EB8" w:rsidRPr="006E4420" w:rsidTr="006D3D04">
        <w:trPr>
          <w:trHeight w:hRule="exact" w:val="283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spacing w:line="256" w:lineRule="auto"/>
              <w:jc w:val="left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 w:rsidRPr="006E4420">
              <w:rPr>
                <w:rFonts w:ascii="Calibri" w:eastAsia="仿宋" w:hAnsi="Calibri" w:cs="Calibri"/>
                <w:b/>
                <w:kern w:val="0"/>
                <w:sz w:val="18"/>
                <w:szCs w:val="18"/>
              </w:rPr>
              <w:t> </w:t>
            </w:r>
          </w:p>
          <w:p w:rsidR="004A5EB8" w:rsidRPr="006E4420" w:rsidRDefault="004A5EB8" w:rsidP="006D3D04">
            <w:pPr>
              <w:widowControl/>
              <w:spacing w:line="256" w:lineRule="auto"/>
              <w:jc w:val="left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 w:rsidRPr="006E4420">
              <w:rPr>
                <w:rFonts w:ascii="Calibri" w:eastAsia="仿宋" w:hAnsi="Calibri" w:cs="Calibri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净资产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净销售额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基金数目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净资产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净销售额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基金数目</w:t>
            </w:r>
          </w:p>
        </w:tc>
      </w:tr>
      <w:tr w:rsidR="004A5EB8" w:rsidRPr="000075D1" w:rsidTr="006D3D04">
        <w:trPr>
          <w:trHeight w:val="2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全球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39,288,395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209,964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108,044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42,307,048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232,490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119,120</w:t>
            </w:r>
          </w:p>
        </w:tc>
      </w:tr>
      <w:tr w:rsidR="004A5EB8" w:rsidRPr="000075D1" w:rsidTr="006D3D04">
        <w:trPr>
          <w:trHeight w:val="2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美洲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20,270,300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7,662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25,555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22,910,648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33,241</w:t>
            </w:r>
          </w:p>
        </w:tc>
      </w:tr>
      <w:tr w:rsidR="004A5EB8" w:rsidRPr="000075D1" w:rsidTr="006D3D04">
        <w:trPr>
          <w:trHeight w:val="2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阿根廷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16,512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1,660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16,512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1,660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366</w:t>
            </w:r>
          </w:p>
        </w:tc>
      </w:tr>
      <w:tr w:rsidR="004A5EB8" w:rsidRPr="000075D1" w:rsidTr="006D3D0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巴西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984,352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1,246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9,057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1,505,170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1,246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14,615</w:t>
            </w:r>
          </w:p>
        </w:tc>
      </w:tr>
      <w:tr w:rsidR="004A5EB8" w:rsidRPr="000075D1" w:rsidTr="006D3D0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980,303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8,635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3,275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1,301,847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15,018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3,907</w:t>
            </w:r>
          </w:p>
        </w:tc>
      </w:tr>
      <w:tr w:rsidR="004A5EB8" w:rsidRPr="000075D1" w:rsidTr="006D3D0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智利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42,480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1,342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2,452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42,480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1,342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2,452</w:t>
            </w:r>
          </w:p>
        </w:tc>
      </w:tr>
      <w:tr w:rsidR="004A5EB8" w:rsidRPr="000075D1" w:rsidTr="006D3D0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哥斯达黎加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2,513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2,516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66</w:t>
            </w:r>
          </w:p>
        </w:tc>
      </w:tr>
      <w:tr w:rsidR="004A5EB8" w:rsidRPr="000075D1" w:rsidTr="006D3D0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墨西哥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107,104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3,967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112,125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3,964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571</w:t>
            </w:r>
          </w:p>
        </w:tc>
      </w:tr>
      <w:tr w:rsidR="004A5EB8" w:rsidRPr="000075D1" w:rsidTr="006D3D0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特立尼达和多巴哥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6,814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6,814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44</w:t>
            </w:r>
          </w:p>
        </w:tc>
      </w:tr>
      <w:tr w:rsidR="004A5EB8" w:rsidRPr="000075D1" w:rsidTr="006D3D04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18,130,222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-9,157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9,789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19,923,184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11,220</w:t>
            </w:r>
          </w:p>
        </w:tc>
      </w:tr>
      <w:tr w:rsidR="004A5EB8" w:rsidRPr="000075D1" w:rsidTr="006D3D04">
        <w:trPr>
          <w:trHeight w:val="2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欧洲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13,978,368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124,161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53,205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14,315,210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128,207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55,201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奥地利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155,330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1,583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187,060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2,054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88,424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1,101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133,989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1,297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保加利亚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109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克罗地亚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2,262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2,262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85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捷克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8,482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9,265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148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丹麦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112,487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2,226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118,971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2,454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585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芬兰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89,806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107,891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455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法国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1,866,100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-12,873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11,051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1,866,100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-12,873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11,051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1,916,532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25,126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5,629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2,003,612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28,045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5,938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希腊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4,117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4,611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159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14,570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-283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17,637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452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2,128,143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64,503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6,266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2,128,143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64,503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6,266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203,272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2,339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257,934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968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列支敦士登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44,616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-295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1,223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45,598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1,302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卢森堡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3,843,406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34,040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14,208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3,843,406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34,040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14,208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马耳他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3,475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3,485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124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荷兰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781,512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6,345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1,030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781,512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6,345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1,030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挪威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109,576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1,087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109,576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1,087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691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波兰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31,064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-273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32,397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508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葡萄牙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21,247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-675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23,998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-790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420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罗马尼亚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5,172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5,172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76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斯洛伐克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6,205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6,205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89</w:t>
            </w:r>
          </w:p>
        </w:tc>
      </w:tr>
      <w:tr w:rsidR="004A5EB8" w:rsidRPr="000075D1" w:rsidTr="006D3D04">
        <w:trPr>
          <w:trHeight w:val="225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斯洛文尼亚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2,445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2,513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115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2,973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2,290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2,973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2,290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瑞典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271,782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178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472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305,744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237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570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瑞士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485,510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6,888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505,020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6,827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906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土耳其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13,729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13,729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390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英国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1,491,980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-9,036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2,791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1,522,253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-7,911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2,915</w:t>
            </w:r>
          </w:p>
        </w:tc>
      </w:tr>
      <w:tr w:rsidR="004A5EB8" w:rsidRPr="000075D1" w:rsidTr="006D3D04">
        <w:trPr>
          <w:trHeight w:val="2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亚洲和太平洋地区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4,906,883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75,892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27,881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4,923,968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76,293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28,861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Default="004A5EB8" w:rsidP="006D3D04">
            <w:pPr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1,597,258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1,597,258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1,154,330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22,722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2,909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1,154,330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22,722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2,909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印度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177,378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13,955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178,483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13,911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870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日本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1,475,209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21,449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10,345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1,475,209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21,449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10,345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韩国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382,169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15,836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12,389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393,589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16,137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13,194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46,360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46,360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586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4,155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-215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4,502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-184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201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5,357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5,357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57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台湾地区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64,667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1,225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68,880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1,338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699</w:t>
            </w:r>
          </w:p>
        </w:tc>
      </w:tr>
      <w:tr w:rsidR="004A5EB8" w:rsidRPr="000075D1" w:rsidTr="006D3D04">
        <w:trPr>
          <w:trHeight w:val="2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非洲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132,844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2,249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1,403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157,222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2,686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1,817</w:t>
            </w:r>
          </w:p>
        </w:tc>
      </w:tr>
      <w:tr w:rsidR="004A5EB8" w:rsidRPr="000075D1" w:rsidTr="006D3D04">
        <w:trPr>
          <w:trHeight w:val="240"/>
        </w:trPr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EB8" w:rsidRDefault="004A5EB8" w:rsidP="006D3D04">
            <w:pPr>
              <w:widowControl/>
              <w:spacing w:line="256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南非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132,844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2,249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1,403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157,222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2,686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5EB8" w:rsidRDefault="004A5EB8" w:rsidP="006D3D04">
            <w:pPr>
              <w:widowControl/>
              <w:spacing w:line="256" w:lineRule="auto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  <w:sz w:val="16"/>
                <w:szCs w:val="16"/>
              </w:rPr>
              <w:t>1,817</w:t>
            </w:r>
          </w:p>
        </w:tc>
      </w:tr>
    </w:tbl>
    <w:p w:rsidR="004A5EB8" w:rsidRDefault="004A5EB8" w:rsidP="004A5EB8">
      <w:pPr>
        <w:spacing w:line="300" w:lineRule="auto"/>
        <w:textAlignment w:val="baseline"/>
        <w:rPr>
          <w:rFonts w:ascii="楷体" w:eastAsia="楷体" w:hAnsi="楷体"/>
          <w:sz w:val="24"/>
          <w:szCs w:val="24"/>
        </w:rPr>
        <w:sectPr w:rsidR="004A5EB8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16E2D">
        <w:rPr>
          <w:rFonts w:ascii="楷体" w:eastAsia="楷体" w:hAnsi="楷体" w:hint="eastAsia"/>
          <w:b/>
          <w:sz w:val="24"/>
          <w:szCs w:val="24"/>
        </w:rPr>
        <w:t>注释：</w:t>
      </w:r>
      <w:r w:rsidRPr="00716E2D">
        <w:rPr>
          <w:rFonts w:ascii="楷体" w:eastAsia="楷体" w:hAnsi="楷体" w:hint="eastAsia"/>
          <w:sz w:val="24"/>
          <w:szCs w:val="24"/>
        </w:rPr>
        <w:t>所有基金均为开放式基金，因基金份额可赎回、接受实质性监管、且在报告国注册成立。新西兰、特立尼达和多巴哥数据包含本国注册基金和海外注册基金。克罗地亚、法国、爱尔兰、日本、</w:t>
      </w:r>
      <w:r>
        <w:rPr>
          <w:rFonts w:ascii="楷体" w:eastAsia="楷体" w:hAnsi="楷体" w:hint="eastAsia"/>
          <w:sz w:val="24"/>
          <w:szCs w:val="24"/>
        </w:rPr>
        <w:t>卢森堡</w:t>
      </w:r>
      <w:r>
        <w:rPr>
          <w:rFonts w:ascii="楷体" w:eastAsia="楷体" w:hAnsi="楷体"/>
          <w:sz w:val="24"/>
          <w:szCs w:val="24"/>
        </w:rPr>
        <w:t>、</w:t>
      </w:r>
      <w:r w:rsidRPr="00716E2D">
        <w:rPr>
          <w:rFonts w:ascii="楷体" w:eastAsia="楷体" w:hAnsi="楷体" w:hint="eastAsia"/>
          <w:sz w:val="24"/>
          <w:szCs w:val="24"/>
        </w:rPr>
        <w:t>荷兰、挪威</w:t>
      </w:r>
      <w:r>
        <w:rPr>
          <w:rFonts w:ascii="楷体" w:eastAsia="楷体" w:hAnsi="楷体" w:hint="eastAsia"/>
          <w:sz w:val="24"/>
          <w:szCs w:val="24"/>
        </w:rPr>
        <w:t>、</w:t>
      </w:r>
      <w:r w:rsidRPr="00716E2D">
        <w:rPr>
          <w:rFonts w:ascii="楷体" w:eastAsia="楷体" w:hAnsi="楷体" w:hint="eastAsia"/>
          <w:sz w:val="24"/>
          <w:szCs w:val="24"/>
        </w:rPr>
        <w:t>斯洛伐克</w:t>
      </w:r>
      <w:r>
        <w:rPr>
          <w:rFonts w:ascii="楷体" w:eastAsia="楷体" w:hAnsi="楷体" w:hint="eastAsia"/>
          <w:sz w:val="24"/>
          <w:szCs w:val="24"/>
        </w:rPr>
        <w:t>和</w:t>
      </w:r>
      <w:r>
        <w:rPr>
          <w:rFonts w:ascii="楷体" w:eastAsia="楷体" w:hAnsi="楷体"/>
          <w:sz w:val="24"/>
          <w:szCs w:val="24"/>
        </w:rPr>
        <w:t>土耳其</w:t>
      </w:r>
      <w:r w:rsidRPr="00716E2D">
        <w:rPr>
          <w:rFonts w:ascii="楷体" w:eastAsia="楷体" w:hAnsi="楷体" w:hint="eastAsia"/>
          <w:sz w:val="24"/>
          <w:szCs w:val="24"/>
        </w:rPr>
        <w:t>数据包含FOF基金。总计</w:t>
      </w:r>
      <w:proofErr w:type="gramStart"/>
      <w:r w:rsidRPr="00716E2D">
        <w:rPr>
          <w:rFonts w:ascii="楷体" w:eastAsia="楷体" w:hAnsi="楷体" w:hint="eastAsia"/>
          <w:sz w:val="24"/>
          <w:szCs w:val="24"/>
        </w:rPr>
        <w:t>项包括</w:t>
      </w:r>
      <w:proofErr w:type="gramEnd"/>
      <w:r w:rsidRPr="00716E2D">
        <w:rPr>
          <w:rFonts w:ascii="楷体" w:eastAsia="楷体" w:hAnsi="楷体" w:hint="eastAsia"/>
          <w:sz w:val="24"/>
          <w:szCs w:val="24"/>
        </w:rPr>
        <w:t>ETF基金和机构基金。显示为零的项目表示该</w:t>
      </w:r>
      <w:proofErr w:type="gramStart"/>
      <w:r w:rsidRPr="00716E2D">
        <w:rPr>
          <w:rFonts w:ascii="楷体" w:eastAsia="楷体" w:hAnsi="楷体" w:hint="eastAsia"/>
          <w:sz w:val="24"/>
          <w:szCs w:val="24"/>
        </w:rPr>
        <w:t>值位于</w:t>
      </w:r>
      <w:proofErr w:type="gramEnd"/>
      <w:r w:rsidRPr="00716E2D">
        <w:rPr>
          <w:rFonts w:ascii="楷体" w:eastAsia="楷体" w:hAnsi="楷体" w:hint="eastAsia"/>
          <w:sz w:val="24"/>
          <w:szCs w:val="24"/>
        </w:rPr>
        <w:t>-0.499-0.499</w:t>
      </w:r>
      <w:proofErr w:type="gramStart"/>
      <w:r>
        <w:rPr>
          <w:rFonts w:ascii="楷体" w:eastAsia="楷体" w:hAnsi="楷体" w:hint="eastAsia"/>
          <w:sz w:val="24"/>
          <w:szCs w:val="24"/>
        </w:rPr>
        <w:t>百万</w:t>
      </w:r>
      <w:proofErr w:type="gramEnd"/>
      <w:r>
        <w:rPr>
          <w:rFonts w:ascii="楷体" w:eastAsia="楷体" w:hAnsi="楷体" w:hint="eastAsia"/>
          <w:sz w:val="24"/>
          <w:szCs w:val="24"/>
        </w:rPr>
        <w:t>美元区间，显示为空格的项目表示该数值无法获得。</w:t>
      </w:r>
    </w:p>
    <w:p w:rsidR="004A5EB8" w:rsidRPr="001F761E" w:rsidRDefault="004A5EB8" w:rsidP="004A5EB8">
      <w:pPr>
        <w:spacing w:line="560" w:lineRule="exact"/>
        <w:jc w:val="center"/>
        <w:textAlignment w:val="baseline"/>
        <w:rPr>
          <w:rFonts w:ascii="楷体" w:eastAsia="楷体" w:hAnsi="楷体"/>
          <w:b/>
          <w:sz w:val="28"/>
          <w:szCs w:val="28"/>
        </w:rPr>
      </w:pPr>
      <w:r w:rsidRPr="001F761E">
        <w:rPr>
          <w:rFonts w:ascii="楷体" w:eastAsia="楷体" w:hAnsi="楷体" w:hint="eastAsia"/>
          <w:b/>
          <w:sz w:val="28"/>
          <w:szCs w:val="28"/>
        </w:rPr>
        <w:lastRenderedPageBreak/>
        <w:t>附表2</w:t>
      </w:r>
      <w:r>
        <w:rPr>
          <w:rFonts w:ascii="楷体" w:eastAsia="楷体" w:hAnsi="楷体" w:hint="eastAsia"/>
          <w:b/>
          <w:sz w:val="28"/>
          <w:szCs w:val="28"/>
        </w:rPr>
        <w:t>：全球开放式基金按基金类别</w:t>
      </w:r>
      <w:r w:rsidRPr="001F761E">
        <w:rPr>
          <w:rFonts w:ascii="楷体" w:eastAsia="楷体" w:hAnsi="楷体" w:hint="eastAsia"/>
          <w:b/>
          <w:sz w:val="28"/>
          <w:szCs w:val="28"/>
        </w:rPr>
        <w:t>的资产净值统计表</w:t>
      </w:r>
    </w:p>
    <w:p w:rsidR="004A5EB8" w:rsidRDefault="004A5EB8" w:rsidP="004A5EB8">
      <w:pPr>
        <w:spacing w:line="560" w:lineRule="exact"/>
        <w:textAlignment w:val="baseline"/>
        <w:rPr>
          <w:rFonts w:ascii="仿宋" w:eastAsia="仿宋" w:hAnsi="仿宋" w:cs="Arial"/>
          <w:kern w:val="0"/>
          <w:sz w:val="22"/>
          <w:szCs w:val="22"/>
        </w:rPr>
      </w:pPr>
      <w:r w:rsidRPr="000E5D56">
        <w:rPr>
          <w:rFonts w:ascii="仿宋" w:eastAsia="仿宋" w:hAnsi="仿宋" w:cs="Arial" w:hint="eastAsia"/>
          <w:kern w:val="0"/>
          <w:sz w:val="22"/>
          <w:szCs w:val="22"/>
        </w:rPr>
        <w:t>截至</w:t>
      </w:r>
      <w:r>
        <w:rPr>
          <w:rFonts w:ascii="仿宋" w:eastAsia="仿宋" w:hAnsi="仿宋" w:cs="Arial" w:hint="eastAsia"/>
          <w:kern w:val="0"/>
          <w:sz w:val="22"/>
          <w:szCs w:val="22"/>
        </w:rPr>
        <w:t>2016</w:t>
      </w:r>
      <w:r w:rsidRPr="000E5D56">
        <w:rPr>
          <w:rFonts w:ascii="仿宋" w:eastAsia="仿宋" w:hAnsi="仿宋" w:cs="Arial" w:hint="eastAsia"/>
          <w:kern w:val="0"/>
          <w:sz w:val="22"/>
          <w:szCs w:val="22"/>
        </w:rPr>
        <w:t>年</w:t>
      </w:r>
      <w:r>
        <w:rPr>
          <w:rFonts w:ascii="仿宋" w:eastAsia="仿宋" w:hAnsi="仿宋" w:cs="Arial" w:hint="eastAsia"/>
          <w:kern w:val="0"/>
          <w:sz w:val="22"/>
          <w:szCs w:val="22"/>
        </w:rPr>
        <w:t>第二季度</w:t>
      </w:r>
      <w:r w:rsidRPr="000E5D56">
        <w:rPr>
          <w:rFonts w:ascii="仿宋" w:eastAsia="仿宋" w:hAnsi="仿宋" w:cs="Arial" w:hint="eastAsia"/>
          <w:kern w:val="0"/>
          <w:sz w:val="22"/>
          <w:szCs w:val="22"/>
        </w:rPr>
        <w:t xml:space="preserve">末，不包括FOF基金 </w:t>
      </w:r>
      <w:r w:rsidRPr="000E5D56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 xml:space="preserve"> 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 xml:space="preserve">                  </w:t>
      </w:r>
      <w:r w:rsidRPr="00223E8D">
        <w:rPr>
          <w:rFonts w:ascii="仿宋" w:eastAsia="仿宋" w:hAnsi="仿宋" w:cs="Arial" w:hint="eastAsia"/>
          <w:kern w:val="0"/>
          <w:sz w:val="22"/>
          <w:szCs w:val="22"/>
        </w:rPr>
        <w:t>单位：百万美元</w:t>
      </w:r>
    </w:p>
    <w:tbl>
      <w:tblPr>
        <w:tblW w:w="10671" w:type="dxa"/>
        <w:jc w:val="center"/>
        <w:tblInd w:w="-90" w:type="dxa"/>
        <w:tblLook w:val="04A0" w:firstRow="1" w:lastRow="0" w:firstColumn="1" w:lastColumn="0" w:noHBand="0" w:noVBand="1"/>
      </w:tblPr>
      <w:tblGrid>
        <w:gridCol w:w="256"/>
        <w:gridCol w:w="1692"/>
        <w:gridCol w:w="936"/>
        <w:gridCol w:w="960"/>
        <w:gridCol w:w="860"/>
        <w:gridCol w:w="900"/>
        <w:gridCol w:w="860"/>
        <w:gridCol w:w="798"/>
        <w:gridCol w:w="850"/>
        <w:gridCol w:w="856"/>
        <w:gridCol w:w="856"/>
        <w:gridCol w:w="856"/>
      </w:tblGrid>
      <w:tr w:rsidR="004A5EB8" w:rsidRPr="006E4420" w:rsidTr="006D3D04">
        <w:trPr>
          <w:trHeight w:val="190"/>
          <w:jc w:val="center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EB8" w:rsidRPr="006E4420" w:rsidRDefault="004A5EB8" w:rsidP="006D3D04">
            <w:pPr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股票基金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债券基金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平衡/混合基金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货币市场基金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保本基金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房地产基金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其他基金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EB8" w:rsidRPr="006E4420" w:rsidRDefault="004A5EB8" w:rsidP="006D3D04">
            <w:pPr>
              <w:adjustRightInd w:val="0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备注项</w:t>
            </w:r>
          </w:p>
        </w:tc>
      </w:tr>
      <w:tr w:rsidR="004A5EB8" w:rsidRPr="00063344" w:rsidTr="006D3D04">
        <w:trPr>
          <w:trHeight w:val="190"/>
          <w:jc w:val="center"/>
        </w:trPr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EB8" w:rsidRPr="00063344" w:rsidRDefault="004A5EB8" w:rsidP="006D3D04">
            <w:pPr>
              <w:adjustRightInd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ETF基金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宋体" w:hAnsi="宋体" w:cs="Arial" w:hint="eastAsia"/>
                <w:b/>
                <w:bCs/>
                <w:kern w:val="0"/>
                <w:sz w:val="16"/>
                <w:szCs w:val="16"/>
              </w:rPr>
              <w:t>机构基金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全球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39,288,395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E17CB9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16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296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E17CB9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807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E17CB9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295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E17CB9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995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E17CB9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69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E17CB9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581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E17CB9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242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E17CB9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877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,</w:t>
            </w:r>
            <w:r w:rsidRPr="00E17CB9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3,542,697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美洲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20,270,300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10,323,753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4,797,125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2,110,200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2,857,628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18,342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162,142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2,230,415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376,856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阿根廷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16,512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9,697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2,351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巴西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984,352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48,351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575,088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195,732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70,785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18,342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74,944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1,080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376,854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980,303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311,312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130,381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510,085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18,561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9,964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智利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42,480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17,266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6,621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16,064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哥斯达黎加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2,278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墨西哥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107,104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10,733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27,493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13,451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55,426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特立尼达和多巴哥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5,707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18,130,222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9,950,868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4,031,269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1,379,292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2,692,163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76,631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2,229,295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欧洲</w:t>
            </w: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13,978,368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3,746,620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3,484,760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2,757,787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1,312,379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68,012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522,544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2,086,266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399,226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2,524,584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奥地利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155,330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18,015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76,094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48,528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6,909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3,572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85,289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88,424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28,846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10,238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16,131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11,020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18,245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保加利亚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克罗地亚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1,513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捷克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8,482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丹麦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112,487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46,072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59,131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7,203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芬兰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89,806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34,080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37,545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11,083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2,712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法国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1,866,100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306,820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278,929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344,004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359,942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28,039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114,906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433,459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1,916,532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265,217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509,975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861,363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8,885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161,262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109,639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46,320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1,541,398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希腊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14,570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3,789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2,208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2,522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746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2,128,143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522,990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428,890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102,872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510,328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12,468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550,596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272,834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447,114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203,272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19,822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51,721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30,475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94,762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7,416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列支敦士登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44,616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8,940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9,606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15,889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2,907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7,268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卢森堡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3,843,406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1,119,389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1,198,490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847,456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312,963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53,575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311,533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70,510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442,429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马耳他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137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荷兰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781,512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289,388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303,528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19,063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94,601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74,932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1,943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挪威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109,576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50,210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41,597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6,637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10,076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1,056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波兰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31,064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5,666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8,183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8,115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8,626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葡萄牙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21,247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2,938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12,021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3,156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罗马尼亚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2,181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斯洛伐克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52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斯洛文尼亚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42,375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83,114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104,474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10,041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24,170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12,466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瑞典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271,782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169,289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20,521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55,901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21,445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4,625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2,464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瑞士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485,510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149,952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147,277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134,857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20,222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33,202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4,274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土耳其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13,729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6,974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1,294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4,136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799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英国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1,491,980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662,815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196,526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143,980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6,602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29,694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451,282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亚洲和太平洋地区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4,906,883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2,194,816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521,582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360,279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806,923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35,660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987,084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247,561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641,257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1,597,258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628,806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87,794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880,658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1,154,330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100,101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122,389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286,359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631,909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13,571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70,053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印度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177,378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53,782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68,073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36,153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12,560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3,821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日本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1,475,209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1,326,109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139,919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9,181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144,906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641,257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韩国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382,169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61,093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90,464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33,475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93,349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34,802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68,986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20,372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46,360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5,616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29,696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4,642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2,271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1,695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1,832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台湾地区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64,667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15,486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2,777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29,651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8,852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8,388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非洲</w:t>
            </w: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132,844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31,478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3,689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67,086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18,716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5,324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6,551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4A5EB8" w:rsidRPr="00063344" w:rsidTr="006D3D04">
        <w:trPr>
          <w:trHeight w:val="240"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EB8" w:rsidRPr="00063344" w:rsidRDefault="004A5EB8" w:rsidP="006D3D04">
            <w:pPr>
              <w:adjustRightInd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南非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132,844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31,478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3,689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67,086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18,716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5,324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6,551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063344" w:rsidRDefault="004A5EB8" w:rsidP="006D3D04">
            <w:pPr>
              <w:adjustRightInd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334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</w:tbl>
    <w:p w:rsidR="004A5EB8" w:rsidRDefault="004A5EB8" w:rsidP="004A5EB8">
      <w:pPr>
        <w:spacing w:line="300" w:lineRule="auto"/>
        <w:textAlignment w:val="baseline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注释</w:t>
      </w:r>
      <w:r w:rsidRPr="00FD0530">
        <w:rPr>
          <w:rFonts w:ascii="楷体" w:eastAsia="楷体" w:hAnsi="楷体" w:hint="eastAsia"/>
          <w:b/>
          <w:sz w:val="24"/>
          <w:szCs w:val="24"/>
        </w:rPr>
        <w:t>：</w:t>
      </w:r>
      <w:r w:rsidRPr="000E5D56">
        <w:rPr>
          <w:rFonts w:ascii="楷体" w:eastAsia="楷体" w:hAnsi="楷体" w:hint="eastAsia"/>
          <w:sz w:val="24"/>
          <w:szCs w:val="24"/>
        </w:rPr>
        <w:t>由于</w:t>
      </w:r>
      <w:r>
        <w:rPr>
          <w:rFonts w:ascii="楷体" w:eastAsia="楷体" w:hAnsi="楷体" w:hint="eastAsia"/>
          <w:sz w:val="24"/>
          <w:szCs w:val="24"/>
        </w:rPr>
        <w:t>取</w:t>
      </w:r>
      <w:proofErr w:type="gramStart"/>
      <w:r>
        <w:rPr>
          <w:rFonts w:ascii="楷体" w:eastAsia="楷体" w:hAnsi="楷体" w:hint="eastAsia"/>
          <w:sz w:val="24"/>
          <w:szCs w:val="24"/>
        </w:rPr>
        <w:t>整处理</w:t>
      </w:r>
      <w:proofErr w:type="gramEnd"/>
      <w:r w:rsidRPr="000E5D56">
        <w:rPr>
          <w:rFonts w:ascii="楷体" w:eastAsia="楷体" w:hAnsi="楷体" w:hint="eastAsia"/>
          <w:sz w:val="24"/>
          <w:szCs w:val="24"/>
        </w:rPr>
        <w:t>和</w:t>
      </w:r>
      <w:r>
        <w:rPr>
          <w:rFonts w:ascii="楷体" w:eastAsia="楷体" w:hAnsi="楷体" w:hint="eastAsia"/>
          <w:sz w:val="24"/>
          <w:szCs w:val="24"/>
        </w:rPr>
        <w:t>数据缺失</w:t>
      </w:r>
      <w:r w:rsidRPr="000E5D56">
        <w:rPr>
          <w:rFonts w:ascii="楷体" w:eastAsia="楷体" w:hAnsi="楷体" w:hint="eastAsia"/>
          <w:sz w:val="24"/>
          <w:szCs w:val="24"/>
        </w:rPr>
        <w:t>，各分项之和与总计项略有误差。总计</w:t>
      </w:r>
      <w:proofErr w:type="gramStart"/>
      <w:r w:rsidRPr="000E5D56">
        <w:rPr>
          <w:rFonts w:ascii="楷体" w:eastAsia="楷体" w:hAnsi="楷体" w:hint="eastAsia"/>
          <w:sz w:val="24"/>
          <w:szCs w:val="24"/>
        </w:rPr>
        <w:t>项包括</w:t>
      </w:r>
      <w:proofErr w:type="gramEnd"/>
      <w:r w:rsidRPr="000E5D56">
        <w:rPr>
          <w:rFonts w:ascii="楷体" w:eastAsia="楷体" w:hAnsi="楷体" w:hint="eastAsia"/>
          <w:sz w:val="24"/>
          <w:szCs w:val="24"/>
        </w:rPr>
        <w:t>ETF基金和机构基金。克罗地亚、法国、爱尔兰、日本、</w:t>
      </w:r>
      <w:r>
        <w:rPr>
          <w:rFonts w:ascii="楷体" w:eastAsia="楷体" w:hAnsi="楷体" w:hint="eastAsia"/>
          <w:sz w:val="24"/>
          <w:szCs w:val="24"/>
        </w:rPr>
        <w:t>卢森堡</w:t>
      </w:r>
      <w:r>
        <w:rPr>
          <w:rFonts w:ascii="楷体" w:eastAsia="楷体" w:hAnsi="楷体"/>
          <w:sz w:val="24"/>
          <w:szCs w:val="24"/>
        </w:rPr>
        <w:t>、</w:t>
      </w:r>
      <w:r w:rsidRPr="000E5D56">
        <w:rPr>
          <w:rFonts w:ascii="楷体" w:eastAsia="楷体" w:hAnsi="楷体" w:hint="eastAsia"/>
          <w:sz w:val="24"/>
          <w:szCs w:val="24"/>
        </w:rPr>
        <w:t>荷兰、挪威</w:t>
      </w:r>
      <w:r>
        <w:rPr>
          <w:rFonts w:ascii="楷体" w:eastAsia="楷体" w:hAnsi="楷体" w:hint="eastAsia"/>
          <w:sz w:val="24"/>
          <w:szCs w:val="24"/>
        </w:rPr>
        <w:t>、</w:t>
      </w:r>
      <w:r w:rsidRPr="000E5D56">
        <w:rPr>
          <w:rFonts w:ascii="楷体" w:eastAsia="楷体" w:hAnsi="楷体" w:hint="eastAsia"/>
          <w:sz w:val="24"/>
          <w:szCs w:val="24"/>
        </w:rPr>
        <w:t>斯洛伐克</w:t>
      </w:r>
      <w:r>
        <w:rPr>
          <w:rFonts w:ascii="楷体" w:eastAsia="楷体" w:hAnsi="楷体" w:hint="eastAsia"/>
          <w:sz w:val="24"/>
          <w:szCs w:val="24"/>
        </w:rPr>
        <w:t>和土耳其</w:t>
      </w:r>
      <w:r w:rsidRPr="000E5D56">
        <w:rPr>
          <w:rFonts w:ascii="楷体" w:eastAsia="楷体" w:hAnsi="楷体" w:hint="eastAsia"/>
          <w:sz w:val="24"/>
          <w:szCs w:val="24"/>
        </w:rPr>
        <w:t>数据包含FOF基金。新西兰、特立尼达和多巴哥数据包含本国注册基金和海外注册基金。显示为零的项目表示该值小于0.500</w:t>
      </w:r>
      <w:proofErr w:type="gramStart"/>
      <w:r>
        <w:rPr>
          <w:rFonts w:ascii="楷体" w:eastAsia="楷体" w:hAnsi="楷体" w:hint="eastAsia"/>
          <w:sz w:val="24"/>
          <w:szCs w:val="24"/>
        </w:rPr>
        <w:t>百万</w:t>
      </w:r>
      <w:proofErr w:type="gramEnd"/>
      <w:r>
        <w:rPr>
          <w:rFonts w:ascii="楷体" w:eastAsia="楷体" w:hAnsi="楷体" w:hint="eastAsia"/>
          <w:sz w:val="24"/>
          <w:szCs w:val="24"/>
        </w:rPr>
        <w:t>美元，显示为空格的项目表示该数值无法获得。</w:t>
      </w:r>
      <w:r w:rsidRPr="00FD0530">
        <w:rPr>
          <w:rFonts w:ascii="楷体" w:eastAsia="楷体" w:hAnsi="楷体" w:hint="eastAsia"/>
          <w:sz w:val="24"/>
          <w:szCs w:val="24"/>
        </w:rPr>
        <w:tab/>
      </w:r>
    </w:p>
    <w:p w:rsidR="004A5EB8" w:rsidRDefault="004A5EB8" w:rsidP="004A5EB8">
      <w:pPr>
        <w:spacing w:line="300" w:lineRule="auto"/>
        <w:textAlignment w:val="baseline"/>
        <w:rPr>
          <w:rFonts w:ascii="楷体" w:eastAsia="楷体" w:hAnsi="楷体"/>
          <w:sz w:val="24"/>
          <w:szCs w:val="24"/>
        </w:rPr>
      </w:pPr>
    </w:p>
    <w:p w:rsidR="004A5EB8" w:rsidRDefault="004A5EB8" w:rsidP="004A5EB8">
      <w:pPr>
        <w:spacing w:line="300" w:lineRule="auto"/>
        <w:textAlignment w:val="baseline"/>
        <w:rPr>
          <w:rFonts w:ascii="楷体" w:eastAsia="楷体" w:hAnsi="楷体"/>
          <w:sz w:val="24"/>
          <w:szCs w:val="24"/>
        </w:rPr>
      </w:pPr>
    </w:p>
    <w:p w:rsidR="004A5EB8" w:rsidRDefault="004A5EB8" w:rsidP="004A5EB8">
      <w:pPr>
        <w:spacing w:line="300" w:lineRule="auto"/>
        <w:textAlignment w:val="baseline"/>
        <w:rPr>
          <w:rFonts w:ascii="楷体" w:eastAsia="楷体" w:hAnsi="楷体"/>
          <w:sz w:val="24"/>
          <w:szCs w:val="24"/>
        </w:rPr>
      </w:pPr>
    </w:p>
    <w:p w:rsidR="004A5EB8" w:rsidRDefault="004A5EB8" w:rsidP="004A5EB8">
      <w:pPr>
        <w:spacing w:line="300" w:lineRule="auto"/>
        <w:textAlignment w:val="baseline"/>
        <w:rPr>
          <w:rFonts w:ascii="楷体" w:eastAsia="楷体" w:hAnsi="楷体"/>
          <w:sz w:val="24"/>
          <w:szCs w:val="24"/>
        </w:rPr>
      </w:pPr>
    </w:p>
    <w:p w:rsidR="004A5EB8" w:rsidRDefault="004A5EB8" w:rsidP="004A5EB8">
      <w:pPr>
        <w:spacing w:line="300" w:lineRule="auto"/>
        <w:textAlignment w:val="baseline"/>
        <w:rPr>
          <w:rFonts w:ascii="楷体" w:eastAsia="楷体" w:hAnsi="楷体"/>
          <w:sz w:val="24"/>
          <w:szCs w:val="24"/>
        </w:rPr>
      </w:pPr>
    </w:p>
    <w:p w:rsidR="004A5EB8" w:rsidRDefault="004A5EB8" w:rsidP="004A5EB8">
      <w:pPr>
        <w:spacing w:line="300" w:lineRule="auto"/>
        <w:textAlignment w:val="baseline"/>
        <w:rPr>
          <w:rFonts w:ascii="楷体" w:eastAsia="楷体" w:hAnsi="楷体"/>
          <w:sz w:val="24"/>
          <w:szCs w:val="24"/>
        </w:rPr>
        <w:sectPr w:rsidR="004A5EB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A5EB8" w:rsidRPr="001F761E" w:rsidRDefault="004A5EB8" w:rsidP="004A5EB8">
      <w:pPr>
        <w:spacing w:line="560" w:lineRule="exact"/>
        <w:jc w:val="center"/>
        <w:textAlignment w:val="baseline"/>
        <w:rPr>
          <w:rFonts w:ascii="楷体" w:eastAsia="楷体" w:hAnsi="楷体"/>
          <w:b/>
          <w:sz w:val="28"/>
          <w:szCs w:val="28"/>
        </w:rPr>
      </w:pPr>
      <w:r w:rsidRPr="0055613B">
        <w:rPr>
          <w:rFonts w:ascii="楷体" w:eastAsia="楷体" w:hAnsi="楷体" w:hint="eastAsia"/>
          <w:b/>
          <w:sz w:val="28"/>
          <w:szCs w:val="28"/>
        </w:rPr>
        <w:lastRenderedPageBreak/>
        <w:t>附</w:t>
      </w:r>
      <w:r>
        <w:rPr>
          <w:rFonts w:ascii="楷体" w:eastAsia="楷体" w:hAnsi="楷体" w:hint="eastAsia"/>
          <w:b/>
          <w:sz w:val="28"/>
          <w:szCs w:val="28"/>
        </w:rPr>
        <w:t>表3：全球开放式基金按基金类别</w:t>
      </w:r>
      <w:r w:rsidRPr="001F761E">
        <w:rPr>
          <w:rFonts w:ascii="楷体" w:eastAsia="楷体" w:hAnsi="楷体" w:hint="eastAsia"/>
          <w:b/>
          <w:sz w:val="28"/>
          <w:szCs w:val="28"/>
        </w:rPr>
        <w:t>的</w:t>
      </w:r>
      <w:r>
        <w:rPr>
          <w:rFonts w:ascii="楷体" w:eastAsia="楷体" w:hAnsi="楷体" w:hint="eastAsia"/>
          <w:b/>
          <w:sz w:val="28"/>
          <w:szCs w:val="28"/>
        </w:rPr>
        <w:t>净销售额</w:t>
      </w:r>
      <w:r w:rsidRPr="001F761E">
        <w:rPr>
          <w:rFonts w:ascii="楷体" w:eastAsia="楷体" w:hAnsi="楷体" w:hint="eastAsia"/>
          <w:b/>
          <w:sz w:val="28"/>
          <w:szCs w:val="28"/>
        </w:rPr>
        <w:t>统计表</w:t>
      </w:r>
    </w:p>
    <w:p w:rsidR="004A5EB8" w:rsidRPr="0055613B" w:rsidRDefault="004A5EB8" w:rsidP="004A5EB8">
      <w:pPr>
        <w:spacing w:line="56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 w:rsidRPr="0055613B">
        <w:rPr>
          <w:rFonts w:ascii="仿宋" w:eastAsia="仿宋" w:hAnsi="仿宋" w:cs="Arial" w:hint="eastAsia"/>
          <w:kern w:val="0"/>
          <w:sz w:val="22"/>
          <w:szCs w:val="22"/>
        </w:rPr>
        <w:t>截至</w:t>
      </w:r>
      <w:r>
        <w:rPr>
          <w:rFonts w:ascii="仿宋" w:eastAsia="仿宋" w:hAnsi="仿宋" w:cs="Arial" w:hint="eastAsia"/>
          <w:kern w:val="0"/>
          <w:sz w:val="22"/>
          <w:szCs w:val="22"/>
        </w:rPr>
        <w:t>2016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>年</w:t>
      </w:r>
      <w:r>
        <w:rPr>
          <w:rFonts w:ascii="仿宋" w:eastAsia="仿宋" w:hAnsi="仿宋" w:cs="Arial" w:hint="eastAsia"/>
          <w:kern w:val="0"/>
          <w:sz w:val="22"/>
          <w:szCs w:val="22"/>
        </w:rPr>
        <w:t>第二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 xml:space="preserve">季度末，不包括FOF基金 </w:t>
      </w:r>
      <w:r w:rsidRPr="0055613B">
        <w:rPr>
          <w:rFonts w:ascii="楷体" w:eastAsia="楷体" w:hAnsi="楷体" w:cs="Arial" w:hint="eastAsia"/>
          <w:bCs/>
          <w:kern w:val="0"/>
          <w:sz w:val="28"/>
          <w:szCs w:val="28"/>
        </w:rPr>
        <w:t xml:space="preserve">                 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>单位：百万美元</w:t>
      </w:r>
    </w:p>
    <w:tbl>
      <w:tblPr>
        <w:tblW w:w="10106" w:type="dxa"/>
        <w:jc w:val="center"/>
        <w:tblInd w:w="-293" w:type="dxa"/>
        <w:tblLook w:val="04A0" w:firstRow="1" w:lastRow="0" w:firstColumn="1" w:lastColumn="0" w:noHBand="0" w:noVBand="1"/>
      </w:tblPr>
      <w:tblGrid>
        <w:gridCol w:w="256"/>
        <w:gridCol w:w="1853"/>
        <w:gridCol w:w="777"/>
        <w:gridCol w:w="710"/>
        <w:gridCol w:w="740"/>
        <w:gridCol w:w="892"/>
        <w:gridCol w:w="732"/>
        <w:gridCol w:w="1079"/>
        <w:gridCol w:w="643"/>
        <w:gridCol w:w="656"/>
        <w:gridCol w:w="894"/>
        <w:gridCol w:w="894"/>
      </w:tblGrid>
      <w:tr w:rsidR="004A5EB8" w:rsidRPr="006E4420" w:rsidTr="006D3D04">
        <w:trPr>
          <w:trHeight w:val="286"/>
          <w:jc w:val="center"/>
        </w:trPr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6E4420" w:rsidRDefault="004A5EB8" w:rsidP="006D3D04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E4420">
              <w:rPr>
                <w:rFonts w:ascii="Calibri" w:eastAsia="仿宋" w:hAnsi="Calibri" w:cs="Calibri"/>
                <w:kern w:val="0"/>
                <w:sz w:val="18"/>
                <w:szCs w:val="18"/>
              </w:rPr>
              <w:t> </w:t>
            </w:r>
          </w:p>
          <w:p w:rsidR="004A5EB8" w:rsidRPr="006E4420" w:rsidRDefault="004A5EB8" w:rsidP="006D3D04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E4420">
              <w:rPr>
                <w:rFonts w:ascii="Calibri" w:eastAsia="仿宋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股票基金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债券基金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平衡/混合基金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货币市场基金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保本基金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房地产基金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其他基金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备注项</w:t>
            </w:r>
          </w:p>
        </w:tc>
      </w:tr>
      <w:tr w:rsidR="004A5EB8" w:rsidRPr="0028025A" w:rsidTr="006D3D04">
        <w:trPr>
          <w:trHeight w:val="285"/>
          <w:jc w:val="center"/>
        </w:trPr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ETF基金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机构基金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全球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209,964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-18,883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146,499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44,710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-12,654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8,378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41,622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42,324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67,198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left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美洲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7,662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-34,465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82,039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11,598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-59,256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7,780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30,629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1,167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阿根廷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1,660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1,264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巴西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1,246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-746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-1,510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3,244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1,169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8,635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3,354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5,697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智利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1,342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1,144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哥斯达黎加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墨西哥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3,967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-457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1,925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2,267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特立尼达和多巴哥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-9,157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-33,038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75,871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1,669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-60,779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7,119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30,825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欧洲</w:t>
            </w: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124,161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-15,883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52,593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24,664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31,130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3,663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27,662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9,878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36,169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奥地利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-402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649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-167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保加利亚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克罗地亚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捷克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丹麦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2,226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1,609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芬兰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1,267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法国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-12,873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-3,049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-9,824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-452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25,126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1,804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4,868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7,467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-1,493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3,416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9,051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-1,472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22,068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希腊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-454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117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64,503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8,011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14,435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2,919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34,021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4,396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10,896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3,952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2,339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6,031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-2,816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130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列支敦士登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卢森堡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34,040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-12,780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20,225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10,228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7,583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6,784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10,071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马耳他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荷兰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6,345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2,942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-1,602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4,227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挪威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1,087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-507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波兰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-83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葡萄牙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罗马尼亚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斯洛伐克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斯洛文尼亚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2,973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-418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3,375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-1,338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1,185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瑞典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1,011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-1,090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瑞士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6,888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6,985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-1,506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1,068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225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土耳其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英国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-9,036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-10,918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-537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1,168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-3,937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5,613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亚洲和太平洋地区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75,892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31,347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11,711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7,531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14,769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4,677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5,863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1,817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29,862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22,722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5,443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6,808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9,307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1,560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-1,991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印度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13,955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1,258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6,201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5,687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日本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21,449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33,289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-8,795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-3,045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2,653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29,862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韩国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15,836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-2,533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8,337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-281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2,643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4,400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3,270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906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438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-304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台湾地区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1,225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-7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873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非洲</w:t>
            </w: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2,249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4A5EB8" w:rsidRPr="0028025A" w:rsidTr="006D3D04">
        <w:trPr>
          <w:trHeight w:val="2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EB8" w:rsidRPr="0028025A" w:rsidRDefault="004A5EB8" w:rsidP="006D3D04">
            <w:pPr>
              <w:widowControl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南非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2,249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156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917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703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317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28025A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28025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</w:tbl>
    <w:p w:rsidR="004A5EB8" w:rsidRDefault="004A5EB8" w:rsidP="004A5EB8">
      <w:pPr>
        <w:rPr>
          <w:rFonts w:ascii="仿宋_GB2312" w:eastAsia="仿宋_GB2312" w:hAnsi="仿宋_GB2312"/>
          <w:sz w:val="30"/>
          <w:szCs w:val="30"/>
        </w:rPr>
      </w:pPr>
      <w:r>
        <w:rPr>
          <w:rFonts w:ascii="楷体" w:eastAsia="楷体" w:hAnsi="楷体" w:hint="eastAsia"/>
          <w:b/>
          <w:sz w:val="24"/>
          <w:szCs w:val="24"/>
        </w:rPr>
        <w:t>注释</w:t>
      </w:r>
      <w:r w:rsidRPr="00FD0530">
        <w:rPr>
          <w:rFonts w:ascii="楷体" w:eastAsia="楷体" w:hAnsi="楷体" w:hint="eastAsia"/>
          <w:b/>
          <w:sz w:val="24"/>
          <w:szCs w:val="24"/>
        </w:rPr>
        <w:t>：</w:t>
      </w:r>
      <w:r w:rsidRPr="007F0256">
        <w:rPr>
          <w:rFonts w:ascii="楷体" w:eastAsia="楷体" w:hAnsi="楷体" w:hint="eastAsia"/>
          <w:sz w:val="24"/>
          <w:szCs w:val="24"/>
        </w:rPr>
        <w:t>由于</w:t>
      </w:r>
      <w:r>
        <w:rPr>
          <w:rFonts w:ascii="楷体" w:eastAsia="楷体" w:hAnsi="楷体" w:hint="eastAsia"/>
          <w:sz w:val="24"/>
          <w:szCs w:val="24"/>
        </w:rPr>
        <w:t>取</w:t>
      </w:r>
      <w:proofErr w:type="gramStart"/>
      <w:r>
        <w:rPr>
          <w:rFonts w:ascii="楷体" w:eastAsia="楷体" w:hAnsi="楷体" w:hint="eastAsia"/>
          <w:sz w:val="24"/>
          <w:szCs w:val="24"/>
        </w:rPr>
        <w:t>整处理</w:t>
      </w:r>
      <w:proofErr w:type="gramEnd"/>
      <w:r w:rsidRPr="000E5D56">
        <w:rPr>
          <w:rFonts w:ascii="楷体" w:eastAsia="楷体" w:hAnsi="楷体" w:hint="eastAsia"/>
          <w:sz w:val="24"/>
          <w:szCs w:val="24"/>
        </w:rPr>
        <w:t>和</w:t>
      </w:r>
      <w:r>
        <w:rPr>
          <w:rFonts w:ascii="楷体" w:eastAsia="楷体" w:hAnsi="楷体" w:hint="eastAsia"/>
          <w:sz w:val="24"/>
          <w:szCs w:val="24"/>
        </w:rPr>
        <w:t>数据缺失</w:t>
      </w:r>
      <w:r w:rsidRPr="007F0256">
        <w:rPr>
          <w:rFonts w:ascii="楷体" w:eastAsia="楷体" w:hAnsi="楷体" w:hint="eastAsia"/>
          <w:sz w:val="24"/>
          <w:szCs w:val="24"/>
        </w:rPr>
        <w:t>，各分项之和与总计项略有误差。总计</w:t>
      </w:r>
      <w:proofErr w:type="gramStart"/>
      <w:r w:rsidRPr="007F0256">
        <w:rPr>
          <w:rFonts w:ascii="楷体" w:eastAsia="楷体" w:hAnsi="楷体" w:hint="eastAsia"/>
          <w:sz w:val="24"/>
          <w:szCs w:val="24"/>
        </w:rPr>
        <w:t>项包括</w:t>
      </w:r>
      <w:proofErr w:type="gramEnd"/>
      <w:r w:rsidRPr="007F0256">
        <w:rPr>
          <w:rFonts w:ascii="楷体" w:eastAsia="楷体" w:hAnsi="楷体" w:hint="eastAsia"/>
          <w:sz w:val="24"/>
          <w:szCs w:val="24"/>
        </w:rPr>
        <w:t>ETF基金和机构基金。克罗地亚、法国、爱尔兰、日本、</w:t>
      </w:r>
      <w:r>
        <w:rPr>
          <w:rFonts w:ascii="楷体" w:eastAsia="楷体" w:hAnsi="楷体" w:hint="eastAsia"/>
          <w:sz w:val="24"/>
          <w:szCs w:val="24"/>
        </w:rPr>
        <w:t>卢森堡</w:t>
      </w:r>
      <w:r>
        <w:rPr>
          <w:rFonts w:ascii="楷体" w:eastAsia="楷体" w:hAnsi="楷体"/>
          <w:sz w:val="24"/>
          <w:szCs w:val="24"/>
        </w:rPr>
        <w:t>、</w:t>
      </w:r>
      <w:r w:rsidRPr="007F0256">
        <w:rPr>
          <w:rFonts w:ascii="楷体" w:eastAsia="楷体" w:hAnsi="楷体" w:hint="eastAsia"/>
          <w:sz w:val="24"/>
          <w:szCs w:val="24"/>
        </w:rPr>
        <w:t>荷兰、挪威</w:t>
      </w:r>
      <w:r>
        <w:rPr>
          <w:rFonts w:ascii="楷体" w:eastAsia="楷体" w:hAnsi="楷体" w:hint="eastAsia"/>
          <w:sz w:val="24"/>
          <w:szCs w:val="24"/>
        </w:rPr>
        <w:t>、</w:t>
      </w:r>
      <w:r w:rsidRPr="007F0256">
        <w:rPr>
          <w:rFonts w:ascii="楷体" w:eastAsia="楷体" w:hAnsi="楷体" w:hint="eastAsia"/>
          <w:sz w:val="24"/>
          <w:szCs w:val="24"/>
        </w:rPr>
        <w:t>斯洛伐克</w:t>
      </w:r>
      <w:r>
        <w:rPr>
          <w:rFonts w:ascii="楷体" w:eastAsia="楷体" w:hAnsi="楷体" w:hint="eastAsia"/>
          <w:sz w:val="24"/>
          <w:szCs w:val="24"/>
        </w:rPr>
        <w:t>和</w:t>
      </w:r>
      <w:r>
        <w:rPr>
          <w:rFonts w:ascii="楷体" w:eastAsia="楷体" w:hAnsi="楷体"/>
          <w:sz w:val="24"/>
          <w:szCs w:val="24"/>
        </w:rPr>
        <w:t>土耳其</w:t>
      </w:r>
      <w:r w:rsidRPr="007F0256">
        <w:rPr>
          <w:rFonts w:ascii="楷体" w:eastAsia="楷体" w:hAnsi="楷体" w:hint="eastAsia"/>
          <w:sz w:val="24"/>
          <w:szCs w:val="24"/>
        </w:rPr>
        <w:t>数据包含FOF基金。新西兰、特立尼达和多巴哥数据包含本国注册基金和海外注册基金。显示为零的项目表示该</w:t>
      </w:r>
      <w:proofErr w:type="gramStart"/>
      <w:r w:rsidRPr="007F0256">
        <w:rPr>
          <w:rFonts w:ascii="楷体" w:eastAsia="楷体" w:hAnsi="楷体" w:hint="eastAsia"/>
          <w:sz w:val="24"/>
          <w:szCs w:val="24"/>
        </w:rPr>
        <w:t>值位于</w:t>
      </w:r>
      <w:proofErr w:type="gramEnd"/>
      <w:r w:rsidRPr="007F0256">
        <w:rPr>
          <w:rFonts w:ascii="楷体" w:eastAsia="楷体" w:hAnsi="楷体" w:hint="eastAsia"/>
          <w:sz w:val="24"/>
          <w:szCs w:val="24"/>
        </w:rPr>
        <w:t>-0.499-0.499</w:t>
      </w:r>
      <w:proofErr w:type="gramStart"/>
      <w:r w:rsidRPr="007F0256">
        <w:rPr>
          <w:rFonts w:ascii="楷体" w:eastAsia="楷体" w:hAnsi="楷体" w:hint="eastAsia"/>
          <w:sz w:val="24"/>
          <w:szCs w:val="24"/>
        </w:rPr>
        <w:t>百万</w:t>
      </w:r>
      <w:proofErr w:type="gramEnd"/>
      <w:r w:rsidRPr="007F0256">
        <w:rPr>
          <w:rFonts w:ascii="楷体" w:eastAsia="楷体" w:hAnsi="楷体" w:hint="eastAsia"/>
          <w:sz w:val="24"/>
          <w:szCs w:val="24"/>
        </w:rPr>
        <w:t>美元区间</w:t>
      </w:r>
      <w:r w:rsidRPr="001713A0">
        <w:rPr>
          <w:rFonts w:ascii="楷体" w:eastAsia="楷体" w:hAnsi="楷体" w:hint="eastAsia"/>
          <w:sz w:val="24"/>
          <w:szCs w:val="24"/>
        </w:rPr>
        <w:t>，显示为空格的项目表示该数值无法获得</w:t>
      </w:r>
      <w:r w:rsidRPr="007F0256">
        <w:rPr>
          <w:rFonts w:ascii="楷体" w:eastAsia="楷体" w:hAnsi="楷体" w:hint="eastAsia"/>
          <w:sz w:val="24"/>
          <w:szCs w:val="24"/>
        </w:rPr>
        <w:t>。</w:t>
      </w:r>
    </w:p>
    <w:p w:rsidR="004A5EB8" w:rsidRPr="00FC714E" w:rsidRDefault="004A5EB8" w:rsidP="004A5EB8">
      <w:pPr>
        <w:spacing w:line="560" w:lineRule="exact"/>
        <w:textAlignment w:val="baseline"/>
        <w:rPr>
          <w:rFonts w:ascii="仿宋_GB2312" w:hAnsi="仿宋_GB2312"/>
          <w:sz w:val="30"/>
          <w:szCs w:val="30"/>
        </w:rPr>
        <w:sectPr w:rsidR="004A5EB8" w:rsidRPr="00FC714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A5EB8" w:rsidRPr="001F761E" w:rsidRDefault="004A5EB8" w:rsidP="004A5EB8">
      <w:pPr>
        <w:spacing w:line="560" w:lineRule="exact"/>
        <w:jc w:val="center"/>
        <w:textAlignment w:val="baseline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附表4：全球开放式基金按基金类别</w:t>
      </w:r>
      <w:r w:rsidRPr="001F761E">
        <w:rPr>
          <w:rFonts w:ascii="楷体" w:eastAsia="楷体" w:hAnsi="楷体" w:hint="eastAsia"/>
          <w:b/>
          <w:sz w:val="28"/>
          <w:szCs w:val="28"/>
        </w:rPr>
        <w:t>的</w:t>
      </w:r>
      <w:r>
        <w:rPr>
          <w:rFonts w:ascii="楷体" w:eastAsia="楷体" w:hAnsi="楷体" w:hint="eastAsia"/>
          <w:b/>
          <w:sz w:val="28"/>
          <w:szCs w:val="28"/>
        </w:rPr>
        <w:t>基金数目</w:t>
      </w:r>
      <w:r w:rsidRPr="001F761E">
        <w:rPr>
          <w:rFonts w:ascii="楷体" w:eastAsia="楷体" w:hAnsi="楷体" w:hint="eastAsia"/>
          <w:b/>
          <w:sz w:val="28"/>
          <w:szCs w:val="28"/>
        </w:rPr>
        <w:t>统计表</w:t>
      </w:r>
    </w:p>
    <w:p w:rsidR="004A5EB8" w:rsidRPr="0055613B" w:rsidRDefault="004A5EB8" w:rsidP="004A5EB8">
      <w:pPr>
        <w:spacing w:line="56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 w:rsidRPr="0055613B">
        <w:rPr>
          <w:rFonts w:ascii="仿宋" w:eastAsia="仿宋" w:hAnsi="仿宋" w:cs="Arial" w:hint="eastAsia"/>
          <w:kern w:val="0"/>
          <w:sz w:val="22"/>
          <w:szCs w:val="22"/>
        </w:rPr>
        <w:t>截至</w:t>
      </w:r>
      <w:r>
        <w:rPr>
          <w:rFonts w:ascii="仿宋" w:eastAsia="仿宋" w:hAnsi="仿宋" w:cs="Arial" w:hint="eastAsia"/>
          <w:kern w:val="0"/>
          <w:sz w:val="22"/>
          <w:szCs w:val="22"/>
        </w:rPr>
        <w:t>2016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>年第</w:t>
      </w:r>
      <w:r>
        <w:rPr>
          <w:rFonts w:ascii="仿宋" w:eastAsia="仿宋" w:hAnsi="仿宋" w:cs="Arial" w:hint="eastAsia"/>
          <w:kern w:val="0"/>
          <w:sz w:val="22"/>
          <w:szCs w:val="22"/>
        </w:rPr>
        <w:t>二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 xml:space="preserve">季度末，不包括FOF基金 </w:t>
      </w:r>
      <w:r w:rsidRPr="0055613B">
        <w:rPr>
          <w:rFonts w:ascii="楷体" w:eastAsia="楷体" w:hAnsi="楷体" w:cs="Arial" w:hint="eastAsia"/>
          <w:bCs/>
          <w:kern w:val="0"/>
          <w:sz w:val="28"/>
          <w:szCs w:val="28"/>
        </w:rPr>
        <w:t xml:space="preserve">                   </w:t>
      </w:r>
      <w:r w:rsidRPr="0055613B">
        <w:rPr>
          <w:rFonts w:ascii="仿宋" w:eastAsia="仿宋" w:hAnsi="仿宋" w:cs="Arial" w:hint="eastAsia"/>
          <w:kern w:val="0"/>
          <w:sz w:val="22"/>
          <w:szCs w:val="22"/>
        </w:rPr>
        <w:t>单位：百万美元</w:t>
      </w:r>
    </w:p>
    <w:tbl>
      <w:tblPr>
        <w:tblW w:w="10028" w:type="dxa"/>
        <w:jc w:val="center"/>
        <w:tblLook w:val="04A0" w:firstRow="1" w:lastRow="0" w:firstColumn="1" w:lastColumn="0" w:noHBand="0" w:noVBand="1"/>
      </w:tblPr>
      <w:tblGrid>
        <w:gridCol w:w="256"/>
        <w:gridCol w:w="1955"/>
        <w:gridCol w:w="777"/>
        <w:gridCol w:w="679"/>
        <w:gridCol w:w="656"/>
        <w:gridCol w:w="892"/>
        <w:gridCol w:w="732"/>
        <w:gridCol w:w="1079"/>
        <w:gridCol w:w="643"/>
        <w:gridCol w:w="656"/>
        <w:gridCol w:w="856"/>
        <w:gridCol w:w="856"/>
      </w:tblGrid>
      <w:tr w:rsidR="004A5EB8" w:rsidRPr="006E4420" w:rsidTr="006D3D04">
        <w:trPr>
          <w:trHeight w:val="286"/>
          <w:jc w:val="center"/>
        </w:trPr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E4420">
              <w:rPr>
                <w:rFonts w:ascii="Calibri" w:eastAsia="仿宋" w:hAnsi="Calibri" w:cs="Calibri"/>
                <w:kern w:val="0"/>
                <w:sz w:val="18"/>
                <w:szCs w:val="18"/>
              </w:rPr>
              <w:t> </w:t>
            </w:r>
          </w:p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E4420">
              <w:rPr>
                <w:rFonts w:ascii="Calibri" w:eastAsia="仿宋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股票基金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债券基金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平衡/混合基金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货币市场基金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保本基金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房地产基金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其他基金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备注项</w:t>
            </w:r>
          </w:p>
        </w:tc>
      </w:tr>
      <w:tr w:rsidR="004A5EB8" w:rsidRPr="00722633" w:rsidTr="006D3D04">
        <w:trPr>
          <w:trHeight w:val="285"/>
          <w:jc w:val="center"/>
        </w:trPr>
        <w:tc>
          <w:tcPr>
            <w:tcW w:w="22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EB8" w:rsidRPr="00722633" w:rsidRDefault="004A5EB8" w:rsidP="006D3D04">
            <w:pPr>
              <w:widowControl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F37F0D" w:rsidRDefault="004A5EB8" w:rsidP="006D3D0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ETF基金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8" w:rsidRPr="006E4420" w:rsidRDefault="004A5EB8" w:rsidP="006D3D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6E4420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机构基金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全球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108,044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34,810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18,401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2,690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1,569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2,675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16,373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2,911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17,351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rPr>
                <w:rFonts w:ascii="仿宋" w:eastAsia="仿宋" w:hAnsi="仿宋" w:cs="Arial"/>
                <w:b/>
                <w:bCs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美洲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25,555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9,671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5,686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7,073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1,083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1,737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1,689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2,674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阿根廷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巴西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9,057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1,836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4,206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1,393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2,673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3,275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1,614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智利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2,452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977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哥斯达黎加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墨西哥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特立尼达和多巴哥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9,789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6,065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2,453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1,674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欧洲</w:t>
            </w: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53,205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11,662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8,699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13,119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1,505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1,568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9,439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10,261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722633"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奥地利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1,583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836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1,101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保加利亚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克罗地亚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捷克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丹麦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芬兰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371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法国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11,051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1,811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1,187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3,034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3,964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5,629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1,025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3,804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希腊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32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6,266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2,067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65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列支敦士登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1,223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卢森堡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14,208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3,787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3,076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4,117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2,630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3,420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马耳他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31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荷兰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挪威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波兰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葡萄牙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罗马尼亚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斯洛伐克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斯洛文尼亚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371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瑞典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瑞士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863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392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土耳其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英国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2,791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1,098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274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406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945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亚洲和太平洋地区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27,881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13,122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3,965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4,248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5,135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4,416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2,909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印度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日本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10,345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9,685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4,416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韩国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12,389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1,938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2,312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2,486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4,743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8" w:rsidRPr="00F37F0D" w:rsidRDefault="004A5EB8" w:rsidP="006D3D0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台湾地区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b/>
                <w:bCs/>
                <w:kern w:val="0"/>
                <w:sz w:val="18"/>
                <w:szCs w:val="18"/>
              </w:rPr>
              <w:t>非洲</w:t>
            </w: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1,403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4A5EB8" w:rsidRPr="00722633" w:rsidTr="006D3D04">
        <w:trPr>
          <w:trHeight w:val="240"/>
          <w:jc w:val="center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lef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EB8" w:rsidRPr="00722633" w:rsidRDefault="004A5EB8" w:rsidP="006D3D04">
            <w:pPr>
              <w:widowControl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F37F0D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南非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1,403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355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8" w:rsidRPr="00722633" w:rsidRDefault="004A5EB8" w:rsidP="006D3D04">
            <w:pPr>
              <w:widowControl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722633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</w:tbl>
    <w:p w:rsidR="004A5EB8" w:rsidRPr="003D1117" w:rsidRDefault="004A5EB8" w:rsidP="004A5EB8">
      <w:pPr>
        <w:rPr>
          <w:rFonts w:ascii="楷体" w:eastAsia="楷体" w:hAnsi="楷体"/>
          <w:sz w:val="24"/>
          <w:szCs w:val="24"/>
        </w:rPr>
        <w:sectPr w:rsidR="004A5EB8" w:rsidRPr="003D111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" w:eastAsia="楷体" w:hAnsi="楷体" w:hint="eastAsia"/>
          <w:b/>
          <w:sz w:val="24"/>
          <w:szCs w:val="24"/>
        </w:rPr>
        <w:t>注释</w:t>
      </w:r>
      <w:r w:rsidRPr="008C4066">
        <w:rPr>
          <w:rFonts w:ascii="楷体" w:eastAsia="楷体" w:hAnsi="楷体"/>
          <w:b/>
          <w:sz w:val="24"/>
          <w:szCs w:val="24"/>
        </w:rPr>
        <w:t>：</w:t>
      </w:r>
      <w:r w:rsidRPr="008E3ACB">
        <w:rPr>
          <w:rFonts w:ascii="楷体" w:eastAsia="楷体" w:hAnsi="楷体" w:hint="eastAsia"/>
          <w:sz w:val="24"/>
          <w:szCs w:val="24"/>
        </w:rPr>
        <w:t>由于</w:t>
      </w:r>
      <w:r>
        <w:rPr>
          <w:rFonts w:ascii="楷体" w:eastAsia="楷体" w:hAnsi="楷体" w:hint="eastAsia"/>
          <w:sz w:val="24"/>
          <w:szCs w:val="24"/>
        </w:rPr>
        <w:t>取</w:t>
      </w:r>
      <w:proofErr w:type="gramStart"/>
      <w:r>
        <w:rPr>
          <w:rFonts w:ascii="楷体" w:eastAsia="楷体" w:hAnsi="楷体" w:hint="eastAsia"/>
          <w:sz w:val="24"/>
          <w:szCs w:val="24"/>
        </w:rPr>
        <w:t>整处理</w:t>
      </w:r>
      <w:proofErr w:type="gramEnd"/>
      <w:r w:rsidRPr="000E5D56">
        <w:rPr>
          <w:rFonts w:ascii="楷体" w:eastAsia="楷体" w:hAnsi="楷体" w:hint="eastAsia"/>
          <w:sz w:val="24"/>
          <w:szCs w:val="24"/>
        </w:rPr>
        <w:t>和</w:t>
      </w:r>
      <w:r>
        <w:rPr>
          <w:rFonts w:ascii="楷体" w:eastAsia="楷体" w:hAnsi="楷体" w:hint="eastAsia"/>
          <w:sz w:val="24"/>
          <w:szCs w:val="24"/>
        </w:rPr>
        <w:t>数据缺失</w:t>
      </w:r>
      <w:r w:rsidRPr="008E3ACB">
        <w:rPr>
          <w:rFonts w:ascii="楷体" w:eastAsia="楷体" w:hAnsi="楷体" w:hint="eastAsia"/>
          <w:sz w:val="24"/>
          <w:szCs w:val="24"/>
        </w:rPr>
        <w:t>，各分项之和与总计项略有误差。总计</w:t>
      </w:r>
      <w:proofErr w:type="gramStart"/>
      <w:r w:rsidRPr="008E3ACB">
        <w:rPr>
          <w:rFonts w:ascii="楷体" w:eastAsia="楷体" w:hAnsi="楷体" w:hint="eastAsia"/>
          <w:sz w:val="24"/>
          <w:szCs w:val="24"/>
        </w:rPr>
        <w:t>项包括</w:t>
      </w:r>
      <w:proofErr w:type="gramEnd"/>
      <w:r w:rsidRPr="008E3ACB">
        <w:rPr>
          <w:rFonts w:ascii="楷体" w:eastAsia="楷体" w:hAnsi="楷体" w:hint="eastAsia"/>
          <w:sz w:val="24"/>
          <w:szCs w:val="24"/>
        </w:rPr>
        <w:t>ETF基金和机构基金。克罗地亚、法国、爱尔兰、日本、</w:t>
      </w:r>
      <w:r>
        <w:rPr>
          <w:rFonts w:ascii="楷体" w:eastAsia="楷体" w:hAnsi="楷体" w:hint="eastAsia"/>
          <w:sz w:val="24"/>
          <w:szCs w:val="24"/>
        </w:rPr>
        <w:t>卢森堡</w:t>
      </w:r>
      <w:r>
        <w:rPr>
          <w:rFonts w:ascii="楷体" w:eastAsia="楷体" w:hAnsi="楷体"/>
          <w:sz w:val="24"/>
          <w:szCs w:val="24"/>
        </w:rPr>
        <w:t>、</w:t>
      </w:r>
      <w:r w:rsidRPr="008E3ACB">
        <w:rPr>
          <w:rFonts w:ascii="楷体" w:eastAsia="楷体" w:hAnsi="楷体" w:hint="eastAsia"/>
          <w:sz w:val="24"/>
          <w:szCs w:val="24"/>
        </w:rPr>
        <w:t>荷兰、挪威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E3ACB">
        <w:rPr>
          <w:rFonts w:ascii="楷体" w:eastAsia="楷体" w:hAnsi="楷体" w:hint="eastAsia"/>
          <w:sz w:val="24"/>
          <w:szCs w:val="24"/>
        </w:rPr>
        <w:t>斯洛伐克</w:t>
      </w:r>
      <w:r>
        <w:rPr>
          <w:rFonts w:ascii="楷体" w:eastAsia="楷体" w:hAnsi="楷体" w:hint="eastAsia"/>
          <w:sz w:val="24"/>
          <w:szCs w:val="24"/>
        </w:rPr>
        <w:t>和</w:t>
      </w:r>
      <w:r>
        <w:rPr>
          <w:rFonts w:ascii="楷体" w:eastAsia="楷体" w:hAnsi="楷体"/>
          <w:sz w:val="24"/>
          <w:szCs w:val="24"/>
        </w:rPr>
        <w:t>土耳其</w:t>
      </w:r>
      <w:r w:rsidRPr="008E3ACB">
        <w:rPr>
          <w:rFonts w:ascii="楷体" w:eastAsia="楷体" w:hAnsi="楷体" w:hint="eastAsia"/>
          <w:sz w:val="24"/>
          <w:szCs w:val="24"/>
        </w:rPr>
        <w:t>数据包含FOF基金。</w:t>
      </w:r>
      <w:r>
        <w:rPr>
          <w:rFonts w:ascii="楷体" w:eastAsia="楷体" w:hAnsi="楷体" w:hint="eastAsia"/>
          <w:sz w:val="24"/>
          <w:szCs w:val="24"/>
        </w:rPr>
        <w:t>新西兰、特立尼达和多巴哥数据包含本国注册基金和海外注册基金</w:t>
      </w:r>
      <w:r w:rsidR="007F40F9">
        <w:rPr>
          <w:rFonts w:ascii="楷体" w:eastAsia="楷体" w:hAnsi="楷体" w:hint="eastAsia"/>
          <w:sz w:val="24"/>
          <w:szCs w:val="24"/>
        </w:rPr>
        <w:t>，显示为空格的项目表示该数值无</w:t>
      </w:r>
    </w:p>
    <w:p w:rsidR="00637D7A" w:rsidRPr="007F40F9" w:rsidRDefault="00637D7A" w:rsidP="007F40F9">
      <w:pPr>
        <w:spacing w:line="560" w:lineRule="exact"/>
        <w:textAlignment w:val="baseline"/>
        <w:rPr>
          <w:rFonts w:ascii="仿宋" w:eastAsia="仿宋" w:hAnsi="仿宋"/>
          <w:b/>
          <w:sz w:val="28"/>
          <w:szCs w:val="28"/>
        </w:rPr>
      </w:pPr>
    </w:p>
    <w:sectPr w:rsidR="00637D7A" w:rsidRPr="007F40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87" w:rsidRDefault="00847F87">
      <w:r>
        <w:separator/>
      </w:r>
    </w:p>
  </w:endnote>
  <w:endnote w:type="continuationSeparator" w:id="0">
    <w:p w:rsidR="00847F87" w:rsidRDefault="0084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2A" w:rsidRPr="00B72FAD" w:rsidRDefault="005C062A" w:rsidP="006D3D04">
    <w:pPr>
      <w:pStyle w:val="a4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7F40F9" w:rsidRPr="007F40F9">
      <w:rPr>
        <w:noProof/>
        <w:lang w:val="zh-CN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87" w:rsidRDefault="00847F87">
      <w:r>
        <w:separator/>
      </w:r>
    </w:p>
  </w:footnote>
  <w:footnote w:type="continuationSeparator" w:id="0">
    <w:p w:rsidR="00847F87" w:rsidRDefault="0084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6946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131D3"/>
    <w:multiLevelType w:val="hybridMultilevel"/>
    <w:tmpl w:val="C052B036"/>
    <w:lvl w:ilvl="0" w:tplc="04090019">
      <w:start w:val="1"/>
      <w:numFmt w:val="lowerLetter"/>
      <w:lvlText w:val="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15B62579"/>
    <w:multiLevelType w:val="hybridMultilevel"/>
    <w:tmpl w:val="D9BEC76E"/>
    <w:lvl w:ilvl="0" w:tplc="04090013">
      <w:start w:val="1"/>
      <w:numFmt w:val="chineseCountingThousand"/>
      <w:lvlText w:val="%1、"/>
      <w:lvlJc w:val="left"/>
      <w:pPr>
        <w:ind w:left="90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3">
    <w:nsid w:val="175554DD"/>
    <w:multiLevelType w:val="hybridMultilevel"/>
    <w:tmpl w:val="C052B036"/>
    <w:lvl w:ilvl="0" w:tplc="04090019">
      <w:start w:val="1"/>
      <w:numFmt w:val="lowerLetter"/>
      <w:lvlText w:val="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3CF83D63"/>
    <w:multiLevelType w:val="hybridMultilevel"/>
    <w:tmpl w:val="C18A55DE"/>
    <w:lvl w:ilvl="0" w:tplc="005630C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D85477D"/>
    <w:multiLevelType w:val="hybridMultilevel"/>
    <w:tmpl w:val="C18A55DE"/>
    <w:lvl w:ilvl="0" w:tplc="005630C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FDE6706"/>
    <w:multiLevelType w:val="hybridMultilevel"/>
    <w:tmpl w:val="C18A55DE"/>
    <w:lvl w:ilvl="0" w:tplc="005630C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4D721EB"/>
    <w:multiLevelType w:val="hybridMultilevel"/>
    <w:tmpl w:val="C18A55DE"/>
    <w:lvl w:ilvl="0" w:tplc="005630C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5432E89"/>
    <w:multiLevelType w:val="hybridMultilevel"/>
    <w:tmpl w:val="C052B036"/>
    <w:lvl w:ilvl="0" w:tplc="04090019">
      <w:start w:val="1"/>
      <w:numFmt w:val="lowerLetter"/>
      <w:lvlText w:val="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589A4965"/>
    <w:multiLevelType w:val="hybridMultilevel"/>
    <w:tmpl w:val="C052B036"/>
    <w:lvl w:ilvl="0" w:tplc="04090019">
      <w:start w:val="1"/>
      <w:numFmt w:val="lowerLetter"/>
      <w:lvlText w:val="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74B057C5"/>
    <w:multiLevelType w:val="hybridMultilevel"/>
    <w:tmpl w:val="C052B036"/>
    <w:lvl w:ilvl="0" w:tplc="04090019">
      <w:start w:val="1"/>
      <w:numFmt w:val="lowerLetter"/>
      <w:lvlText w:val="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78B62253"/>
    <w:multiLevelType w:val="multilevel"/>
    <w:tmpl w:val="78B62253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2" w:hanging="420"/>
      </w:pPr>
    </w:lvl>
    <w:lvl w:ilvl="3" w:tentative="1">
      <w:start w:val="1"/>
      <w:numFmt w:val="decimal"/>
      <w:lvlText w:val="%4."/>
      <w:lvlJc w:val="left"/>
      <w:pPr>
        <w:ind w:left="2242" w:hanging="420"/>
      </w:pPr>
    </w:lvl>
    <w:lvl w:ilvl="4" w:tentative="1">
      <w:start w:val="1"/>
      <w:numFmt w:val="lowerLetter"/>
      <w:lvlText w:val="%5)"/>
      <w:lvlJc w:val="left"/>
      <w:pPr>
        <w:ind w:left="2662" w:hanging="420"/>
      </w:pPr>
    </w:lvl>
    <w:lvl w:ilvl="5" w:tentative="1">
      <w:start w:val="1"/>
      <w:numFmt w:val="lowerRoman"/>
      <w:lvlText w:val="%6."/>
      <w:lvlJc w:val="right"/>
      <w:pPr>
        <w:ind w:left="3082" w:hanging="420"/>
      </w:pPr>
    </w:lvl>
    <w:lvl w:ilvl="6" w:tentative="1">
      <w:start w:val="1"/>
      <w:numFmt w:val="decimal"/>
      <w:lvlText w:val="%7."/>
      <w:lvlJc w:val="left"/>
      <w:pPr>
        <w:ind w:left="3502" w:hanging="420"/>
      </w:pPr>
    </w:lvl>
    <w:lvl w:ilvl="7" w:tentative="1">
      <w:start w:val="1"/>
      <w:numFmt w:val="lowerLetter"/>
      <w:lvlText w:val="%8)"/>
      <w:lvlJc w:val="left"/>
      <w:pPr>
        <w:ind w:left="3922" w:hanging="420"/>
      </w:pPr>
    </w:lvl>
    <w:lvl w:ilvl="8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B8"/>
    <w:rsid w:val="00265EA9"/>
    <w:rsid w:val="004A5EB8"/>
    <w:rsid w:val="005C062A"/>
    <w:rsid w:val="00637D7A"/>
    <w:rsid w:val="00665B25"/>
    <w:rsid w:val="006D3D04"/>
    <w:rsid w:val="007F40F9"/>
    <w:rsid w:val="00847F87"/>
    <w:rsid w:val="008E160B"/>
    <w:rsid w:val="00987472"/>
    <w:rsid w:val="00A82CE2"/>
    <w:rsid w:val="00C618A5"/>
    <w:rsid w:val="00FC2A1C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A5EB8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4A5EB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5EB8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rsid w:val="004A5EB8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3">
    <w:name w:val="header"/>
    <w:basedOn w:val="a"/>
    <w:link w:val="Char"/>
    <w:uiPriority w:val="99"/>
    <w:rsid w:val="004A5E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4A5EB8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4A5EB8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4A5EB8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5">
    <w:name w:val="Normal (Web)"/>
    <w:basedOn w:val="a"/>
    <w:uiPriority w:val="99"/>
    <w:rsid w:val="004A5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rsid w:val="004A5EB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rsid w:val="004A5EB8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6"/>
    <w:uiPriority w:val="99"/>
    <w:rsid w:val="004A5EB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p15">
    <w:name w:val="p15"/>
    <w:basedOn w:val="a"/>
    <w:rsid w:val="004A5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4A5EB8"/>
    <w:pPr>
      <w:adjustRightInd w:val="0"/>
      <w:spacing w:line="360" w:lineRule="auto"/>
    </w:pPr>
  </w:style>
  <w:style w:type="paragraph" w:styleId="a7">
    <w:name w:val="annotation text"/>
    <w:basedOn w:val="a"/>
    <w:link w:val="Char2"/>
    <w:uiPriority w:val="99"/>
    <w:rsid w:val="004A5EB8"/>
    <w:pPr>
      <w:jc w:val="left"/>
    </w:pPr>
    <w:rPr>
      <w:lang w:val="x-none" w:eastAsia="x-none"/>
    </w:rPr>
  </w:style>
  <w:style w:type="character" w:customStyle="1" w:styleId="Char2">
    <w:name w:val="批注文字 Char"/>
    <w:basedOn w:val="a0"/>
    <w:link w:val="a7"/>
    <w:uiPriority w:val="99"/>
    <w:rsid w:val="004A5EB8"/>
    <w:rPr>
      <w:rFonts w:ascii="Times New Roman" w:eastAsia="宋体" w:hAnsi="Times New Roman" w:cs="Times New Roman"/>
      <w:szCs w:val="20"/>
      <w:lang w:val="x-none" w:eastAsia="x-none"/>
    </w:rPr>
  </w:style>
  <w:style w:type="paragraph" w:styleId="a8">
    <w:name w:val="annotation subject"/>
    <w:basedOn w:val="a7"/>
    <w:next w:val="a7"/>
    <w:link w:val="Char3"/>
    <w:uiPriority w:val="99"/>
    <w:unhideWhenUsed/>
    <w:rsid w:val="004A5EB8"/>
    <w:rPr>
      <w:rFonts w:ascii="Calibri" w:hAnsi="Calibri"/>
      <w:b/>
      <w:bCs/>
      <w:szCs w:val="22"/>
    </w:rPr>
  </w:style>
  <w:style w:type="character" w:customStyle="1" w:styleId="Char3">
    <w:name w:val="批注主题 Char"/>
    <w:basedOn w:val="Char2"/>
    <w:link w:val="a8"/>
    <w:uiPriority w:val="99"/>
    <w:rsid w:val="004A5EB8"/>
    <w:rPr>
      <w:rFonts w:ascii="Calibri" w:eastAsia="宋体" w:hAnsi="Calibri" w:cs="Times New Roman"/>
      <w:b/>
      <w:bCs/>
      <w:szCs w:val="20"/>
      <w:lang w:val="x-none" w:eastAsia="x-none"/>
    </w:rPr>
  </w:style>
  <w:style w:type="paragraph" w:styleId="a9">
    <w:name w:val="caption"/>
    <w:basedOn w:val="a"/>
    <w:next w:val="a"/>
    <w:uiPriority w:val="35"/>
    <w:qFormat/>
    <w:rsid w:val="004A5EB8"/>
    <w:rPr>
      <w:rFonts w:ascii="Cambria" w:eastAsia="黑体" w:hAnsi="Cambria" w:cs="黑体"/>
      <w:sz w:val="20"/>
    </w:rPr>
  </w:style>
  <w:style w:type="paragraph" w:styleId="HTML">
    <w:name w:val="HTML Preformatted"/>
    <w:basedOn w:val="a"/>
    <w:link w:val="HTMLChar"/>
    <w:uiPriority w:val="99"/>
    <w:unhideWhenUsed/>
    <w:rsid w:val="004A5E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A5EB8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styleId="aa">
    <w:name w:val="annotation reference"/>
    <w:uiPriority w:val="99"/>
    <w:unhideWhenUsed/>
    <w:rsid w:val="004A5EB8"/>
    <w:rPr>
      <w:sz w:val="21"/>
      <w:szCs w:val="21"/>
    </w:rPr>
  </w:style>
  <w:style w:type="paragraph" w:customStyle="1" w:styleId="ab">
    <w:name w:val="华宝正文"/>
    <w:basedOn w:val="a"/>
    <w:link w:val="Char4"/>
    <w:qFormat/>
    <w:rsid w:val="004A5EB8"/>
    <w:pPr>
      <w:widowControl/>
      <w:spacing w:afterLines="50"/>
      <w:ind w:leftChars="1200" w:left="1200" w:firstLineChars="200" w:firstLine="200"/>
    </w:pPr>
    <w:rPr>
      <w:rFonts w:ascii="Arial" w:eastAsia="楷体_GB2312" w:hAnsi="Arial"/>
      <w:szCs w:val="22"/>
      <w:lang w:val="x-none" w:eastAsia="x-none"/>
    </w:rPr>
  </w:style>
  <w:style w:type="paragraph" w:customStyle="1" w:styleId="10">
    <w:name w:val="列出段落1"/>
    <w:basedOn w:val="a"/>
    <w:uiPriority w:val="99"/>
    <w:qFormat/>
    <w:rsid w:val="004A5EB8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华宝正文 Char"/>
    <w:link w:val="ab"/>
    <w:rsid w:val="004A5EB8"/>
    <w:rPr>
      <w:rFonts w:ascii="Arial" w:eastAsia="楷体_GB2312" w:hAnsi="Arial" w:cs="Times New Roman"/>
      <w:lang w:val="x-none" w:eastAsia="x-none"/>
    </w:rPr>
  </w:style>
  <w:style w:type="character" w:customStyle="1" w:styleId="apple-converted-space">
    <w:name w:val="apple-converted-space"/>
    <w:rsid w:val="004A5EB8"/>
  </w:style>
  <w:style w:type="character" w:styleId="ac">
    <w:name w:val="Strong"/>
    <w:uiPriority w:val="22"/>
    <w:qFormat/>
    <w:rsid w:val="004A5EB8"/>
    <w:rPr>
      <w:b/>
      <w:bCs/>
    </w:rPr>
  </w:style>
  <w:style w:type="paragraph" w:customStyle="1" w:styleId="ordinary-output">
    <w:name w:val="ordinary-output"/>
    <w:basedOn w:val="a"/>
    <w:rsid w:val="004A5EB8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styleId="ad">
    <w:name w:val="endnote text"/>
    <w:basedOn w:val="a"/>
    <w:link w:val="Char5"/>
    <w:rsid w:val="004A5EB8"/>
    <w:pPr>
      <w:snapToGrid w:val="0"/>
      <w:jc w:val="left"/>
    </w:pPr>
  </w:style>
  <w:style w:type="character" w:customStyle="1" w:styleId="Char5">
    <w:name w:val="尾注文本 Char"/>
    <w:basedOn w:val="a0"/>
    <w:link w:val="ad"/>
    <w:rsid w:val="004A5EB8"/>
    <w:rPr>
      <w:rFonts w:ascii="Times New Roman" w:eastAsia="宋体" w:hAnsi="Times New Roman" w:cs="Times New Roman"/>
      <w:szCs w:val="20"/>
    </w:rPr>
  </w:style>
  <w:style w:type="character" w:styleId="ae">
    <w:name w:val="endnote reference"/>
    <w:rsid w:val="004A5EB8"/>
    <w:rPr>
      <w:vertAlign w:val="superscript"/>
    </w:rPr>
  </w:style>
  <w:style w:type="paragraph" w:styleId="af">
    <w:name w:val="No Spacing"/>
    <w:uiPriority w:val="1"/>
    <w:qFormat/>
    <w:rsid w:val="004A5E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5C0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A5EB8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4A5EB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5EB8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rsid w:val="004A5EB8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3">
    <w:name w:val="header"/>
    <w:basedOn w:val="a"/>
    <w:link w:val="Char"/>
    <w:uiPriority w:val="99"/>
    <w:rsid w:val="004A5E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4A5EB8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4A5EB8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4A5EB8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5">
    <w:name w:val="Normal (Web)"/>
    <w:basedOn w:val="a"/>
    <w:uiPriority w:val="99"/>
    <w:rsid w:val="004A5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rsid w:val="004A5EB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rsid w:val="004A5EB8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6"/>
    <w:uiPriority w:val="99"/>
    <w:rsid w:val="004A5EB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p15">
    <w:name w:val="p15"/>
    <w:basedOn w:val="a"/>
    <w:rsid w:val="004A5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4A5EB8"/>
    <w:pPr>
      <w:adjustRightInd w:val="0"/>
      <w:spacing w:line="360" w:lineRule="auto"/>
    </w:pPr>
  </w:style>
  <w:style w:type="paragraph" w:styleId="a7">
    <w:name w:val="annotation text"/>
    <w:basedOn w:val="a"/>
    <w:link w:val="Char2"/>
    <w:uiPriority w:val="99"/>
    <w:rsid w:val="004A5EB8"/>
    <w:pPr>
      <w:jc w:val="left"/>
    </w:pPr>
    <w:rPr>
      <w:lang w:val="x-none" w:eastAsia="x-none"/>
    </w:rPr>
  </w:style>
  <w:style w:type="character" w:customStyle="1" w:styleId="Char2">
    <w:name w:val="批注文字 Char"/>
    <w:basedOn w:val="a0"/>
    <w:link w:val="a7"/>
    <w:uiPriority w:val="99"/>
    <w:rsid w:val="004A5EB8"/>
    <w:rPr>
      <w:rFonts w:ascii="Times New Roman" w:eastAsia="宋体" w:hAnsi="Times New Roman" w:cs="Times New Roman"/>
      <w:szCs w:val="20"/>
      <w:lang w:val="x-none" w:eastAsia="x-none"/>
    </w:rPr>
  </w:style>
  <w:style w:type="paragraph" w:styleId="a8">
    <w:name w:val="annotation subject"/>
    <w:basedOn w:val="a7"/>
    <w:next w:val="a7"/>
    <w:link w:val="Char3"/>
    <w:uiPriority w:val="99"/>
    <w:unhideWhenUsed/>
    <w:rsid w:val="004A5EB8"/>
    <w:rPr>
      <w:rFonts w:ascii="Calibri" w:hAnsi="Calibri"/>
      <w:b/>
      <w:bCs/>
      <w:szCs w:val="22"/>
    </w:rPr>
  </w:style>
  <w:style w:type="character" w:customStyle="1" w:styleId="Char3">
    <w:name w:val="批注主题 Char"/>
    <w:basedOn w:val="Char2"/>
    <w:link w:val="a8"/>
    <w:uiPriority w:val="99"/>
    <w:rsid w:val="004A5EB8"/>
    <w:rPr>
      <w:rFonts w:ascii="Calibri" w:eastAsia="宋体" w:hAnsi="Calibri" w:cs="Times New Roman"/>
      <w:b/>
      <w:bCs/>
      <w:szCs w:val="20"/>
      <w:lang w:val="x-none" w:eastAsia="x-none"/>
    </w:rPr>
  </w:style>
  <w:style w:type="paragraph" w:styleId="a9">
    <w:name w:val="caption"/>
    <w:basedOn w:val="a"/>
    <w:next w:val="a"/>
    <w:uiPriority w:val="35"/>
    <w:qFormat/>
    <w:rsid w:val="004A5EB8"/>
    <w:rPr>
      <w:rFonts w:ascii="Cambria" w:eastAsia="黑体" w:hAnsi="Cambria" w:cs="黑体"/>
      <w:sz w:val="20"/>
    </w:rPr>
  </w:style>
  <w:style w:type="paragraph" w:styleId="HTML">
    <w:name w:val="HTML Preformatted"/>
    <w:basedOn w:val="a"/>
    <w:link w:val="HTMLChar"/>
    <w:uiPriority w:val="99"/>
    <w:unhideWhenUsed/>
    <w:rsid w:val="004A5E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4A5EB8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styleId="aa">
    <w:name w:val="annotation reference"/>
    <w:uiPriority w:val="99"/>
    <w:unhideWhenUsed/>
    <w:rsid w:val="004A5EB8"/>
    <w:rPr>
      <w:sz w:val="21"/>
      <w:szCs w:val="21"/>
    </w:rPr>
  </w:style>
  <w:style w:type="paragraph" w:customStyle="1" w:styleId="ab">
    <w:name w:val="华宝正文"/>
    <w:basedOn w:val="a"/>
    <w:link w:val="Char4"/>
    <w:qFormat/>
    <w:rsid w:val="004A5EB8"/>
    <w:pPr>
      <w:widowControl/>
      <w:spacing w:afterLines="50"/>
      <w:ind w:leftChars="1200" w:left="1200" w:firstLineChars="200" w:firstLine="200"/>
    </w:pPr>
    <w:rPr>
      <w:rFonts w:ascii="Arial" w:eastAsia="楷体_GB2312" w:hAnsi="Arial"/>
      <w:szCs w:val="22"/>
      <w:lang w:val="x-none" w:eastAsia="x-none"/>
    </w:rPr>
  </w:style>
  <w:style w:type="paragraph" w:customStyle="1" w:styleId="10">
    <w:name w:val="列出段落1"/>
    <w:basedOn w:val="a"/>
    <w:uiPriority w:val="99"/>
    <w:qFormat/>
    <w:rsid w:val="004A5EB8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华宝正文 Char"/>
    <w:link w:val="ab"/>
    <w:rsid w:val="004A5EB8"/>
    <w:rPr>
      <w:rFonts w:ascii="Arial" w:eastAsia="楷体_GB2312" w:hAnsi="Arial" w:cs="Times New Roman"/>
      <w:lang w:val="x-none" w:eastAsia="x-none"/>
    </w:rPr>
  </w:style>
  <w:style w:type="character" w:customStyle="1" w:styleId="apple-converted-space">
    <w:name w:val="apple-converted-space"/>
    <w:rsid w:val="004A5EB8"/>
  </w:style>
  <w:style w:type="character" w:styleId="ac">
    <w:name w:val="Strong"/>
    <w:uiPriority w:val="22"/>
    <w:qFormat/>
    <w:rsid w:val="004A5EB8"/>
    <w:rPr>
      <w:b/>
      <w:bCs/>
    </w:rPr>
  </w:style>
  <w:style w:type="paragraph" w:customStyle="1" w:styleId="ordinary-output">
    <w:name w:val="ordinary-output"/>
    <w:basedOn w:val="a"/>
    <w:rsid w:val="004A5EB8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styleId="ad">
    <w:name w:val="endnote text"/>
    <w:basedOn w:val="a"/>
    <w:link w:val="Char5"/>
    <w:rsid w:val="004A5EB8"/>
    <w:pPr>
      <w:snapToGrid w:val="0"/>
      <w:jc w:val="left"/>
    </w:pPr>
  </w:style>
  <w:style w:type="character" w:customStyle="1" w:styleId="Char5">
    <w:name w:val="尾注文本 Char"/>
    <w:basedOn w:val="a0"/>
    <w:link w:val="ad"/>
    <w:rsid w:val="004A5EB8"/>
    <w:rPr>
      <w:rFonts w:ascii="Times New Roman" w:eastAsia="宋体" w:hAnsi="Times New Roman" w:cs="Times New Roman"/>
      <w:szCs w:val="20"/>
    </w:rPr>
  </w:style>
  <w:style w:type="character" w:styleId="ae">
    <w:name w:val="endnote reference"/>
    <w:rsid w:val="004A5EB8"/>
    <w:rPr>
      <w:vertAlign w:val="superscript"/>
    </w:rPr>
  </w:style>
  <w:style w:type="paragraph" w:styleId="af">
    <w:name w:val="No Spacing"/>
    <w:uiPriority w:val="1"/>
    <w:qFormat/>
    <w:rsid w:val="004A5E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5C0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1764</Words>
  <Characters>10060</Characters>
  <Application>Microsoft Office Word</Application>
  <DocSecurity>0</DocSecurity>
  <Lines>83</Lines>
  <Paragraphs>23</Paragraphs>
  <ScaleCrop>false</ScaleCrop>
  <Company>Lenovo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董煜韬:部门负责人意见</dc:creator>
  <cp:lastModifiedBy>韩冰:返回拟稿人</cp:lastModifiedBy>
  <cp:revision>2</cp:revision>
  <cp:lastPrinted>2016-11-04T01:02:00Z</cp:lastPrinted>
  <dcterms:created xsi:type="dcterms:W3CDTF">2016-11-04T09:08:00Z</dcterms:created>
  <dcterms:modified xsi:type="dcterms:W3CDTF">2016-11-04T09:08:00Z</dcterms:modified>
</cp:coreProperties>
</file>