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0"/>
          <w:szCs w:val="30"/>
        </w:rPr>
      </w:pPr>
      <w:bookmarkStart w:id="0" w:name="_GoBack"/>
      <w:bookmarkEnd w:id="0"/>
      <w:r>
        <w:rPr>
          <w:rFonts w:hint="eastAsia" w:ascii="黑体" w:hAnsi="黑体" w:eastAsia="黑体" w:cs="黑体"/>
          <w:sz w:val="32"/>
          <w:szCs w:val="32"/>
        </w:rPr>
        <w:t>附件2</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82"/>
        <w:gridCol w:w="327"/>
        <w:gridCol w:w="543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209" w:type="dxa"/>
            <w:gridSpan w:val="5"/>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w:t>
            </w:r>
            <w:r>
              <w:rPr>
                <w:rFonts w:ascii="黑体" w:hAnsi="黑体" w:eastAsia="黑体" w:cs="宋体"/>
                <w:kern w:val="0"/>
                <w:sz w:val="32"/>
                <w:szCs w:val="32"/>
              </w:rPr>
              <w:t>2</w:t>
            </w:r>
            <w:r>
              <w:rPr>
                <w:rFonts w:hint="eastAsia" w:ascii="黑体" w:hAnsi="黑体" w:eastAsia="黑体" w:cs="宋体"/>
                <w:kern w:val="0"/>
                <w:sz w:val="32"/>
                <w:szCs w:val="32"/>
              </w:rPr>
              <w:t>2年度基金从业人员</w:t>
            </w:r>
            <w:r>
              <w:rPr>
                <w:rFonts w:ascii="黑体" w:hAnsi="黑体" w:eastAsia="黑体" w:cs="宋体"/>
                <w:kern w:val="0"/>
                <w:sz w:val="32"/>
                <w:szCs w:val="32"/>
              </w:rPr>
              <w:t>后续</w:t>
            </w:r>
            <w:r>
              <w:rPr>
                <w:rFonts w:hint="eastAsia" w:ascii="黑体" w:hAnsi="黑体" w:eastAsia="黑体" w:cs="宋体"/>
                <w:kern w:val="0"/>
                <w:sz w:val="32"/>
                <w:szCs w:val="32"/>
              </w:rPr>
              <w:t>培训意见调查表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90" w:type="dxa"/>
            <w:gridSpan w:val="2"/>
            <w:shd w:val="clear" w:color="auto" w:fill="auto"/>
            <w:vAlign w:val="center"/>
          </w:tcPr>
          <w:p>
            <w:pPr>
              <w:widowControl/>
              <w:jc w:val="center"/>
              <w:rPr>
                <w:rFonts w:ascii="仿宋" w:hAnsi="仿宋" w:eastAsia="仿宋"/>
                <w:b/>
                <w:iCs/>
                <w:sz w:val="30"/>
                <w:szCs w:val="30"/>
              </w:rPr>
            </w:pPr>
            <w:r>
              <w:rPr>
                <w:rFonts w:hint="eastAsia" w:ascii="仿宋" w:hAnsi="仿宋" w:eastAsia="仿宋"/>
                <w:b/>
                <w:iCs/>
                <w:sz w:val="30"/>
                <w:szCs w:val="30"/>
              </w:rPr>
              <w:t>培训方式</w:t>
            </w:r>
          </w:p>
        </w:tc>
        <w:tc>
          <w:tcPr>
            <w:tcW w:w="7319" w:type="dxa"/>
            <w:gridSpan w:val="3"/>
            <w:shd w:val="clear" w:color="auto" w:fill="auto"/>
            <w:vAlign w:val="center"/>
          </w:tcPr>
          <w:p>
            <w:pPr>
              <w:widowControl/>
              <w:jc w:val="center"/>
              <w:rPr>
                <w:rFonts w:ascii="仿宋" w:hAnsi="仿宋" w:eastAsia="仿宋"/>
                <w:b/>
                <w:iCs/>
                <w:sz w:val="30"/>
                <w:szCs w:val="30"/>
              </w:rPr>
            </w:pPr>
            <w:r>
              <w:rPr>
                <w:rFonts w:hint="eastAsia" w:ascii="仿宋" w:hAnsi="仿宋" w:eastAsia="仿宋"/>
                <w:b/>
                <w:iCs/>
                <w:sz w:val="30"/>
                <w:szCs w:val="30"/>
              </w:rPr>
              <w:t>意见</w:t>
            </w:r>
            <w:r>
              <w:rPr>
                <w:rFonts w:ascii="仿宋" w:hAnsi="仿宋" w:eastAsia="仿宋"/>
                <w:b/>
                <w:iCs/>
                <w:sz w:val="30"/>
                <w:szCs w:val="30"/>
              </w:rPr>
              <w:t>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890" w:type="dxa"/>
            <w:gridSpan w:val="2"/>
            <w:shd w:val="clear" w:color="auto" w:fill="auto"/>
            <w:vAlign w:val="center"/>
          </w:tcPr>
          <w:p>
            <w:pPr>
              <w:widowControl/>
              <w:jc w:val="center"/>
              <w:rPr>
                <w:rFonts w:ascii="仿宋" w:hAnsi="仿宋" w:eastAsia="仿宋"/>
                <w:iCs/>
                <w:sz w:val="30"/>
                <w:szCs w:val="30"/>
              </w:rPr>
            </w:pPr>
            <w:r>
              <w:rPr>
                <w:rFonts w:hint="eastAsia" w:ascii="仿宋" w:hAnsi="仿宋" w:eastAsia="仿宋"/>
                <w:iCs/>
                <w:sz w:val="30"/>
                <w:szCs w:val="30"/>
              </w:rPr>
              <w:t>面授及</w:t>
            </w:r>
            <w:r>
              <w:rPr>
                <w:rFonts w:ascii="仿宋" w:hAnsi="仿宋" w:eastAsia="仿宋"/>
                <w:iCs/>
                <w:sz w:val="30"/>
                <w:szCs w:val="30"/>
              </w:rPr>
              <w:t>直播培训</w:t>
            </w:r>
          </w:p>
        </w:tc>
        <w:tc>
          <w:tcPr>
            <w:tcW w:w="7319" w:type="dxa"/>
            <w:gridSpan w:val="3"/>
            <w:shd w:val="clear" w:color="auto" w:fill="auto"/>
            <w:vAlign w:val="center"/>
          </w:tcPr>
          <w:p>
            <w:pPr>
              <w:widowControl/>
              <w:jc w:val="center"/>
              <w:rPr>
                <w:rFonts w:ascii="仿宋_GB2312" w:eastAsia="仿宋_GB2312"/>
                <w:i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890" w:type="dxa"/>
            <w:gridSpan w:val="2"/>
            <w:shd w:val="clear" w:color="auto" w:fill="auto"/>
            <w:vAlign w:val="center"/>
          </w:tcPr>
          <w:p>
            <w:pPr>
              <w:widowControl/>
              <w:jc w:val="center"/>
              <w:rPr>
                <w:rFonts w:ascii="仿宋_GB2312" w:eastAsia="仿宋_GB2312"/>
                <w:iCs/>
                <w:sz w:val="28"/>
                <w:szCs w:val="30"/>
              </w:rPr>
            </w:pPr>
            <w:r>
              <w:rPr>
                <w:rFonts w:hint="eastAsia" w:ascii="仿宋" w:hAnsi="仿宋" w:eastAsia="仿宋"/>
                <w:iCs/>
                <w:sz w:val="30"/>
                <w:szCs w:val="30"/>
              </w:rPr>
              <w:t>远程</w:t>
            </w:r>
            <w:r>
              <w:rPr>
                <w:rFonts w:ascii="仿宋" w:hAnsi="仿宋" w:eastAsia="仿宋"/>
                <w:iCs/>
                <w:sz w:val="30"/>
                <w:szCs w:val="30"/>
              </w:rPr>
              <w:t>培训</w:t>
            </w:r>
          </w:p>
        </w:tc>
        <w:tc>
          <w:tcPr>
            <w:tcW w:w="7319" w:type="dxa"/>
            <w:gridSpan w:val="3"/>
            <w:shd w:val="clear" w:color="auto" w:fill="auto"/>
            <w:vAlign w:val="center"/>
          </w:tcPr>
          <w:p>
            <w:pPr>
              <w:widowControl/>
              <w:jc w:val="center"/>
              <w:rPr>
                <w:rFonts w:ascii="仿宋_GB2312" w:eastAsia="仿宋_GB2312"/>
                <w:i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209" w:type="dxa"/>
            <w:gridSpan w:val="5"/>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w:t>
            </w:r>
            <w:r>
              <w:rPr>
                <w:rFonts w:ascii="黑体" w:hAnsi="黑体" w:eastAsia="黑体" w:cs="宋体"/>
                <w:kern w:val="0"/>
                <w:sz w:val="32"/>
                <w:szCs w:val="32"/>
              </w:rPr>
              <w:t>2</w:t>
            </w:r>
            <w:r>
              <w:rPr>
                <w:rFonts w:hint="eastAsia" w:ascii="黑体" w:hAnsi="黑体" w:eastAsia="黑体" w:cs="宋体"/>
                <w:kern w:val="0"/>
                <w:sz w:val="32"/>
                <w:szCs w:val="32"/>
              </w:rPr>
              <w:t>2年度面授及直播培训汇总（截至10月）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shd w:val="clear" w:color="auto" w:fill="auto"/>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序号</w:t>
            </w:r>
          </w:p>
        </w:tc>
        <w:tc>
          <w:tcPr>
            <w:tcW w:w="1509" w:type="dxa"/>
            <w:gridSpan w:val="2"/>
            <w:shd w:val="clear" w:color="auto" w:fill="auto"/>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类别</w:t>
            </w:r>
          </w:p>
        </w:tc>
        <w:tc>
          <w:tcPr>
            <w:tcW w:w="5433" w:type="dxa"/>
            <w:shd w:val="clear" w:color="auto" w:fill="auto"/>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培训班名称</w:t>
            </w:r>
          </w:p>
        </w:tc>
        <w:tc>
          <w:tcPr>
            <w:tcW w:w="1559"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1</w:t>
            </w:r>
          </w:p>
        </w:tc>
        <w:tc>
          <w:tcPr>
            <w:tcW w:w="1509" w:type="dxa"/>
            <w:gridSpan w:val="2"/>
            <w:vMerge w:val="restar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合规风控类</w:t>
            </w: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基金行业反洗钱业务培训（2期、直播）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2</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证券基金经营机构高管及从业人员监督管理办法解读培训（1期、直播）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3</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基金行业董监高水平评价测试要求及从业人员管理规则解读直播培训（2期、直播）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4</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《期货和衍生品法》解读直播培训（2期、直播）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5</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基金行业信息技术法律规则系列直播培训（3期、直播）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lang w:val="en-US" w:eastAsia="zh-CN"/>
              </w:rPr>
              <w:t>6</w:t>
            </w:r>
            <w:r>
              <w:rPr>
                <w:rFonts w:hint="eastAsia" w:ascii="仿宋" w:hAnsi="仿宋" w:eastAsia="仿宋" w:cs="宋体"/>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bidi="ar"/>
              </w:rPr>
              <w:t>6</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《资产管理产品相关会计处理规定》解读直播培训（2期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lang w:val="en-US" w:eastAsia="zh-CN"/>
              </w:rPr>
              <w:t>7</w:t>
            </w:r>
            <w:r>
              <w:rPr>
                <w:rFonts w:hint="eastAsia" w:ascii="仿宋" w:hAnsi="仿宋" w:eastAsia="仿宋" w:cs="宋体"/>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7</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公募基金经理合规直播培训（2期、直播）</w:t>
            </w:r>
          </w:p>
        </w:tc>
        <w:tc>
          <w:tcPr>
            <w:tcW w:w="1559" w:type="dxa"/>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lang w:val="en-US" w:eastAsia="zh-CN"/>
              </w:rPr>
              <w:t>8</w:t>
            </w:r>
            <w:r>
              <w:rPr>
                <w:rFonts w:hint="eastAsia" w:ascii="仿宋" w:hAnsi="仿宋" w:eastAsia="仿宋" w:cs="宋体"/>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8</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基金行业互联网应用无障碍改造直播培训（1期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9</w:t>
            </w:r>
          </w:p>
        </w:tc>
        <w:tc>
          <w:tcPr>
            <w:tcW w:w="1509" w:type="dxa"/>
            <w:gridSpan w:val="2"/>
            <w:vMerge w:val="restart"/>
            <w:shd w:val="clear" w:color="auto" w:fill="auto"/>
            <w:vAlign w:val="center"/>
          </w:tcPr>
          <w:p>
            <w:pPr>
              <w:ind w:firstLine="120" w:firstLineChars="50"/>
              <w:jc w:val="center"/>
              <w:rPr>
                <w:rFonts w:ascii="仿宋_GB2312" w:hAnsi="宋体" w:eastAsia="仿宋_GB2312" w:cs="宋体"/>
                <w:kern w:val="0"/>
                <w:sz w:val="24"/>
              </w:rPr>
            </w:pPr>
            <w:r>
              <w:rPr>
                <w:rFonts w:hint="eastAsia" w:ascii="仿宋_GB2312" w:hAnsi="宋体" w:eastAsia="仿宋_GB2312" w:cs="宋体"/>
                <w:kern w:val="0"/>
                <w:sz w:val="24"/>
              </w:rPr>
              <w:t>投研</w:t>
            </w:r>
            <w:r>
              <w:rPr>
                <w:rFonts w:ascii="仿宋_GB2312" w:hAnsi="宋体" w:eastAsia="仿宋_GB2312" w:cs="宋体"/>
                <w:kern w:val="0"/>
                <w:sz w:val="24"/>
              </w:rPr>
              <w:t>类</w:t>
            </w: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港股通业务系列直播培训（3期、直播）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10</w:t>
            </w:r>
          </w:p>
        </w:tc>
        <w:tc>
          <w:tcPr>
            <w:tcW w:w="1509" w:type="dxa"/>
            <w:gridSpan w:val="2"/>
            <w:vMerge w:val="continue"/>
            <w:shd w:val="clear" w:color="auto" w:fill="auto"/>
            <w:vAlign w:val="center"/>
          </w:tcPr>
          <w:p>
            <w:pPr>
              <w:ind w:firstLine="120" w:firstLineChars="50"/>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中证1000股指期货期权业务直播培训（2期、直播）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11</w:t>
            </w:r>
          </w:p>
        </w:tc>
        <w:tc>
          <w:tcPr>
            <w:tcW w:w="1509" w:type="dxa"/>
            <w:gridSpan w:val="2"/>
            <w:vMerge w:val="continue"/>
            <w:shd w:val="clear" w:color="auto" w:fill="auto"/>
            <w:vAlign w:val="center"/>
          </w:tcPr>
          <w:p>
            <w:pPr>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基础设施公募REITs政策解读及实务要点系列直播培训（3期、直播）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kern w:val="0"/>
                <w:sz w:val="24"/>
              </w:rPr>
              <w:t>12</w:t>
            </w:r>
          </w:p>
        </w:tc>
        <w:tc>
          <w:tcPr>
            <w:tcW w:w="1509" w:type="dxa"/>
            <w:gridSpan w:val="2"/>
            <w:vMerge w:val="continue"/>
            <w:shd w:val="clear" w:color="auto" w:fill="auto"/>
            <w:vAlign w:val="center"/>
          </w:tcPr>
          <w:p>
            <w:pPr>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养老金投资业务直播培训（3期、直播）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13</w:t>
            </w:r>
          </w:p>
        </w:tc>
        <w:tc>
          <w:tcPr>
            <w:tcW w:w="1509" w:type="dxa"/>
            <w:gridSpan w:val="2"/>
            <w:vMerge w:val="restar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私募投资基金类</w:t>
            </w: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私募基金合规业务培训（2期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14</w:t>
            </w:r>
          </w:p>
        </w:tc>
        <w:tc>
          <w:tcPr>
            <w:tcW w:w="1509" w:type="dxa"/>
            <w:gridSpan w:val="2"/>
            <w:vMerge w:val="continue"/>
            <w:shd w:val="clear" w:color="auto" w:fill="auto"/>
            <w:vAlign w:val="center"/>
          </w:tcPr>
          <w:p>
            <w:pPr>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私募基金自律规则培训（6期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5月、7月、8月、9月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15</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私募基金登记材料清单及备案关注要点培训（3期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szCs w:val="24"/>
                <w:lang w:val="en-US" w:eastAsia="zh-CN" w:bidi="ar-SA"/>
              </w:rPr>
            </w:pPr>
            <w:r>
              <w:rPr>
                <w:rFonts w:hint="eastAsia" w:ascii="仿宋" w:hAnsi="仿宋" w:eastAsia="仿宋" w:cs="仿宋"/>
                <w:color w:val="000000"/>
                <w:kern w:val="0"/>
                <w:sz w:val="24"/>
                <w:lang w:bidi="ar"/>
              </w:rPr>
              <w:t>16</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《私募投资基金电子合同业务管理办法（试行）》解读直播培训（1期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val="en-US" w:eastAsia="zh-CN" w:bidi="ar"/>
              </w:rPr>
              <w:t>17</w:t>
            </w:r>
          </w:p>
        </w:tc>
        <w:tc>
          <w:tcPr>
            <w:tcW w:w="1509" w:type="dxa"/>
            <w:gridSpan w:val="2"/>
            <w:vMerge w:val="continue"/>
            <w:shd w:val="clear" w:color="auto" w:fill="auto"/>
            <w:vAlign w:val="center"/>
          </w:tcPr>
          <w:p>
            <w:pPr>
              <w:widowControl/>
              <w:jc w:val="center"/>
              <w:rPr>
                <w:rFonts w:ascii="仿宋_GB2312" w:hAnsi="宋体" w:eastAsia="仿宋_GB2312" w:cs="宋体"/>
                <w:kern w:val="0"/>
                <w:sz w:val="24"/>
              </w:rPr>
            </w:pPr>
          </w:p>
        </w:tc>
        <w:tc>
          <w:tcPr>
            <w:tcW w:w="5433" w:type="dxa"/>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私募股权投资基金税务要点培训（1期</w:t>
            </w:r>
            <w:r>
              <w:rPr>
                <w:rFonts w:ascii="仿宋" w:hAnsi="仿宋" w:eastAsia="仿宋" w:cs="宋体"/>
                <w:kern w:val="0"/>
                <w:sz w:val="24"/>
              </w:rPr>
              <w:t>、</w:t>
            </w:r>
            <w:r>
              <w:rPr>
                <w:rFonts w:hint="eastAsia" w:ascii="仿宋" w:hAnsi="仿宋" w:eastAsia="仿宋" w:cs="宋体"/>
                <w:kern w:val="0"/>
                <w:sz w:val="24"/>
              </w:rPr>
              <w:t>直播）</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bottom w:val="single" w:color="auto" w:sz="4" w:space="0"/>
            </w:tcBorders>
            <w:shd w:val="clear" w:color="auto" w:fill="auto"/>
            <w:vAlign w:val="center"/>
          </w:tcPr>
          <w:p>
            <w:pPr>
              <w:widowControl/>
              <w:jc w:val="center"/>
              <w:textAlignment w:val="center"/>
              <w:rPr>
                <w:rFonts w:ascii="仿宋" w:hAnsi="仿宋" w:eastAsia="仿宋" w:cs="仿宋"/>
                <w:kern w:val="0"/>
                <w:sz w:val="24"/>
              </w:rPr>
            </w:pPr>
            <w:r>
              <w:rPr>
                <w:rFonts w:hint="eastAsia" w:ascii="仿宋" w:hAnsi="仿宋" w:eastAsia="仿宋" w:cs="仿宋"/>
                <w:color w:val="000000"/>
                <w:kern w:val="0"/>
                <w:sz w:val="24"/>
                <w:lang w:val="en-US" w:eastAsia="zh-CN" w:bidi="ar"/>
              </w:rPr>
              <w:t>18</w:t>
            </w:r>
          </w:p>
        </w:tc>
        <w:tc>
          <w:tcPr>
            <w:tcW w:w="1509" w:type="dxa"/>
            <w:gridSpan w:val="2"/>
            <w:vMerge w:val="continue"/>
            <w:tcBorders>
              <w:bottom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5433" w:type="dxa"/>
            <w:tcBorders>
              <w:bottom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私募基金ETF期权业务直播培训（1期</w:t>
            </w:r>
            <w:r>
              <w:rPr>
                <w:rFonts w:ascii="仿宋" w:hAnsi="仿宋" w:eastAsia="仿宋" w:cs="宋体"/>
                <w:kern w:val="0"/>
                <w:sz w:val="24"/>
              </w:rPr>
              <w:t>、</w:t>
            </w:r>
            <w:r>
              <w:rPr>
                <w:rFonts w:hint="eastAsia" w:ascii="仿宋" w:hAnsi="仿宋" w:eastAsia="仿宋" w:cs="宋体"/>
                <w:kern w:val="0"/>
                <w:sz w:val="24"/>
              </w:rPr>
              <w:t>直播）</w:t>
            </w:r>
          </w:p>
        </w:tc>
        <w:tc>
          <w:tcPr>
            <w:tcW w:w="1559" w:type="dxa"/>
            <w:tcBorders>
              <w:bottom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9月</w:t>
            </w:r>
          </w:p>
        </w:tc>
      </w:tr>
    </w:tbl>
    <w:tbl>
      <w:tblPr>
        <w:tblStyle w:val="6"/>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69"/>
        <w:gridCol w:w="54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8" w:type="dxa"/>
            <w:gridSpan w:val="4"/>
            <w:tcBorders>
              <w:top w:val="single" w:color="auto" w:sz="4" w:space="0"/>
            </w:tcBorders>
            <w:vAlign w:val="center"/>
          </w:tcPr>
          <w:p>
            <w:pPr>
              <w:widowControl/>
              <w:jc w:val="center"/>
              <w:rPr>
                <w:rFonts w:ascii="仿宋" w:hAnsi="仿宋" w:eastAsia="仿宋"/>
                <w:b/>
                <w:sz w:val="24"/>
              </w:rPr>
            </w:pPr>
            <w:r>
              <w:rPr>
                <w:rFonts w:hint="eastAsia" w:ascii="黑体" w:hAnsi="黑体" w:eastAsia="黑体" w:cs="宋体"/>
                <w:kern w:val="0"/>
                <w:sz w:val="32"/>
                <w:szCs w:val="32"/>
              </w:rPr>
              <w:t>20</w:t>
            </w:r>
            <w:r>
              <w:rPr>
                <w:rFonts w:ascii="黑体" w:hAnsi="黑体" w:eastAsia="黑体" w:cs="宋体"/>
                <w:kern w:val="0"/>
                <w:sz w:val="32"/>
                <w:szCs w:val="32"/>
              </w:rPr>
              <w:t>2</w:t>
            </w:r>
            <w:r>
              <w:rPr>
                <w:rFonts w:hint="eastAsia" w:ascii="黑体" w:hAnsi="黑体" w:eastAsia="黑体" w:cs="宋体"/>
                <w:kern w:val="0"/>
                <w:sz w:val="32"/>
                <w:szCs w:val="32"/>
                <w:lang w:val="en-US" w:eastAsia="zh-CN"/>
              </w:rPr>
              <w:t>2</w:t>
            </w:r>
            <w:r>
              <w:rPr>
                <w:rFonts w:hint="eastAsia" w:ascii="黑体" w:hAnsi="黑体" w:eastAsia="黑体" w:cs="宋体"/>
                <w:kern w:val="0"/>
                <w:sz w:val="32"/>
                <w:szCs w:val="32"/>
              </w:rPr>
              <w:t>年度远程培训汇总（截至1</w:t>
            </w:r>
            <w:r>
              <w:rPr>
                <w:rFonts w:hint="eastAsia" w:ascii="黑体" w:hAnsi="黑体" w:eastAsia="黑体" w:cs="宋体"/>
                <w:kern w:val="0"/>
                <w:sz w:val="32"/>
                <w:szCs w:val="32"/>
                <w:lang w:val="en-US" w:eastAsia="zh-CN"/>
              </w:rPr>
              <w:t>0</w:t>
            </w:r>
            <w:r>
              <w:rPr>
                <w:rFonts w:hint="eastAsia" w:ascii="黑体" w:hAnsi="黑体" w:eastAsia="黑体" w:cs="宋体"/>
                <w:kern w:val="0"/>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8" w:type="dxa"/>
            <w:vAlign w:val="center"/>
          </w:tcPr>
          <w:p>
            <w:pPr>
              <w:widowControl/>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69" w:type="dxa"/>
            <w:vAlign w:val="center"/>
          </w:tcPr>
          <w:p>
            <w:pPr>
              <w:widowControl/>
              <w:jc w:val="center"/>
              <w:rPr>
                <w:rFonts w:hint="eastAsia" w:ascii="仿宋" w:hAnsi="仿宋" w:eastAsia="仿宋" w:cs="仿宋"/>
                <w:b/>
                <w:sz w:val="24"/>
                <w:szCs w:val="24"/>
              </w:rPr>
            </w:pPr>
            <w:r>
              <w:rPr>
                <w:rFonts w:hint="eastAsia" w:ascii="仿宋" w:hAnsi="仿宋" w:eastAsia="仿宋" w:cs="仿宋"/>
                <w:b/>
                <w:sz w:val="24"/>
                <w:szCs w:val="24"/>
              </w:rPr>
              <w:t>分类</w:t>
            </w:r>
          </w:p>
        </w:tc>
        <w:tc>
          <w:tcPr>
            <w:tcW w:w="5423" w:type="dxa"/>
            <w:vAlign w:val="center"/>
          </w:tcPr>
          <w:p>
            <w:pPr>
              <w:widowControl/>
              <w:jc w:val="center"/>
              <w:rPr>
                <w:rFonts w:hint="eastAsia" w:ascii="仿宋" w:hAnsi="仿宋" w:eastAsia="仿宋" w:cs="仿宋"/>
                <w:b/>
                <w:sz w:val="24"/>
                <w:szCs w:val="24"/>
              </w:rPr>
            </w:pPr>
            <w:r>
              <w:rPr>
                <w:rFonts w:hint="eastAsia" w:ascii="仿宋" w:hAnsi="仿宋" w:eastAsia="仿宋" w:cs="仿宋"/>
                <w:b/>
                <w:sz w:val="24"/>
                <w:szCs w:val="24"/>
              </w:rPr>
              <w:t>课程名称</w:t>
            </w:r>
          </w:p>
        </w:tc>
        <w:tc>
          <w:tcPr>
            <w:tcW w:w="1568" w:type="dxa"/>
            <w:vAlign w:val="center"/>
          </w:tcPr>
          <w:p>
            <w:pPr>
              <w:widowControl/>
              <w:jc w:val="center"/>
              <w:rPr>
                <w:rFonts w:hint="eastAsia" w:ascii="仿宋" w:hAnsi="仿宋" w:eastAsia="仿宋" w:cs="仿宋"/>
                <w:b/>
                <w:sz w:val="24"/>
                <w:szCs w:val="24"/>
              </w:rPr>
            </w:pPr>
            <w:r>
              <w:rPr>
                <w:rFonts w:hint="eastAsia" w:ascii="仿宋" w:hAnsi="仿宋" w:eastAsia="仿宋" w:cs="仿宋"/>
                <w:b/>
                <w:sz w:val="24"/>
                <w:szCs w:val="24"/>
                <w:lang w:eastAsia="zh-CN"/>
              </w:rPr>
              <w:t>课</w:t>
            </w:r>
            <w:r>
              <w:rPr>
                <w:rFonts w:hint="eastAsia" w:ascii="仿宋" w:hAnsi="仿宋" w:eastAsia="仿宋" w:cs="仿宋"/>
                <w:b/>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569" w:type="dxa"/>
            <w:vMerge w:val="restart"/>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法律法规与职业道德</w:t>
            </w:r>
          </w:p>
        </w:tc>
        <w:tc>
          <w:tcPr>
            <w:tcW w:w="5423" w:type="dxa"/>
            <w:vAlign w:val="center"/>
          </w:tcPr>
          <w:p>
            <w:pPr>
              <w:widowControl/>
              <w:jc w:val="left"/>
              <w:rPr>
                <w:rFonts w:hint="eastAsia" w:ascii="仿宋" w:hAnsi="仿宋" w:eastAsia="仿宋" w:cs="仿宋"/>
                <w:b/>
                <w:sz w:val="24"/>
                <w:szCs w:val="24"/>
              </w:rPr>
            </w:pPr>
            <w:r>
              <w:rPr>
                <w:rFonts w:hint="eastAsia" w:ascii="仿宋" w:hAnsi="仿宋" w:eastAsia="仿宋" w:cs="仿宋"/>
                <w:b w:val="0"/>
                <w:bCs/>
                <w:sz w:val="24"/>
              </w:rPr>
              <w:t>学好党章必修课 做新时代合格党员——十九大党章修正案解读</w:t>
            </w:r>
          </w:p>
        </w:tc>
        <w:tc>
          <w:tcPr>
            <w:tcW w:w="1568" w:type="dxa"/>
            <w:vAlign w:val="center"/>
          </w:tcPr>
          <w:p>
            <w:pPr>
              <w:widowControl/>
              <w:jc w:val="center"/>
              <w:rPr>
                <w:rFonts w:hint="eastAsia" w:ascii="仿宋" w:hAnsi="仿宋" w:eastAsia="仿宋" w:cs="仿宋"/>
                <w:b/>
                <w:sz w:val="24"/>
                <w:szCs w:val="24"/>
                <w:lang w:eastAsia="zh-CN"/>
              </w:rPr>
            </w:pPr>
            <w:r>
              <w:rPr>
                <w:rFonts w:hint="eastAsia" w:ascii="仿宋" w:hAnsi="仿宋" w:eastAsia="仿宋" w:cs="仿宋"/>
                <w:b w:val="0"/>
                <w:bCs/>
                <w:sz w:val="24"/>
                <w:szCs w:val="24"/>
                <w:lang w:eastAsia="zh-CN"/>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569" w:type="dxa"/>
            <w:vMerge w:val="continue"/>
            <w:vAlign w:val="center"/>
          </w:tcPr>
          <w:p>
            <w:pPr>
              <w:widowControl/>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习近平新时代中国特色社会主义思想的形成和历史地位</w:t>
            </w:r>
          </w:p>
        </w:tc>
        <w:tc>
          <w:tcPr>
            <w:tcW w:w="1568" w:type="dxa"/>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569" w:type="dxa"/>
            <w:vMerge w:val="continue"/>
            <w:vAlign w:val="center"/>
          </w:tcPr>
          <w:p>
            <w:pPr>
              <w:widowControl/>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稳字当头 稳健有效 稳中求进——2022年宏观调控与政策部署</w:t>
            </w:r>
          </w:p>
        </w:tc>
        <w:tc>
          <w:tcPr>
            <w:tcW w:w="1568" w:type="dxa"/>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1569" w:type="dxa"/>
            <w:vMerge w:val="continue"/>
            <w:vAlign w:val="center"/>
          </w:tcPr>
          <w:p>
            <w:pPr>
              <w:widowControl/>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坚定理想信念，补足精神之钙——学习习近平总书记关于理想信念的重要论述</w:t>
            </w:r>
          </w:p>
        </w:tc>
        <w:tc>
          <w:tcPr>
            <w:tcW w:w="1568" w:type="dxa"/>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569" w:type="dxa"/>
            <w:vMerge w:val="continue"/>
            <w:vAlign w:val="center"/>
          </w:tcPr>
          <w:p>
            <w:pPr>
              <w:widowControl/>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做好新时代党的组织工作的基本遵循——学习《中国共产党组织工作条例》</w:t>
            </w:r>
          </w:p>
        </w:tc>
        <w:tc>
          <w:tcPr>
            <w:tcW w:w="1568" w:type="dxa"/>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569" w:type="dxa"/>
            <w:vMerge w:val="continue"/>
            <w:vAlign w:val="center"/>
          </w:tcPr>
          <w:p>
            <w:pPr>
              <w:widowControl/>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证券投资基金行业发展历程与监管思考</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民法典物权编与资本市场（上）</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民法典物权编与资本市场（下）</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1569" w:type="dxa"/>
            <w:vMerge w:val="restart"/>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内部控制与合规管理</w:t>
            </w:r>
          </w:p>
        </w:tc>
        <w:tc>
          <w:tcPr>
            <w:tcW w:w="5423"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《中国证券投资基金业协会投诉处理办法》解读</w:t>
            </w:r>
          </w:p>
        </w:tc>
        <w:tc>
          <w:tcPr>
            <w:tcW w:w="1568" w:type="dxa"/>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《中国证券投资基金业协会投资基金纠纷调解规则》解读</w:t>
            </w:r>
          </w:p>
        </w:tc>
        <w:tc>
          <w:tcPr>
            <w:tcW w:w="1568" w:type="dxa"/>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基金从业人员从业资格注册相关操作演示</w:t>
            </w:r>
          </w:p>
        </w:tc>
        <w:tc>
          <w:tcPr>
            <w:tcW w:w="1568" w:type="dxa"/>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私募证券投资基金备案关注要点</w:t>
            </w:r>
          </w:p>
        </w:tc>
        <w:tc>
          <w:tcPr>
            <w:tcW w:w="1568"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私募股权、创业投资基金备案关注要点</w:t>
            </w:r>
          </w:p>
        </w:tc>
        <w:tc>
          <w:tcPr>
            <w:tcW w:w="1568"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基金行业董监高水平评价测试相关事项介绍及系统操作演示</w:t>
            </w:r>
          </w:p>
        </w:tc>
        <w:tc>
          <w:tcPr>
            <w:tcW w:w="1568"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《私募基金管理人登记申请材料清单（2022版）》解读</w:t>
            </w:r>
          </w:p>
        </w:tc>
        <w:tc>
          <w:tcPr>
            <w:tcW w:w="1568"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《基金从业人员管理规则》相关问题解读</w:t>
            </w:r>
          </w:p>
        </w:tc>
        <w:tc>
          <w:tcPr>
            <w:tcW w:w="1568"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《私募投资基金电子合同业务管理办法（试行）》解读</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公开课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金融机构刑事合规与刑事风险应对——从刑事司法实践的视角</w:t>
            </w:r>
          </w:p>
        </w:tc>
        <w:tc>
          <w:tcPr>
            <w:tcW w:w="1568" w:type="dxa"/>
            <w:vAlign w:val="center"/>
          </w:tcPr>
          <w:p>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widowControl/>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基金公司声誉风险管理制度与实践</w:t>
            </w:r>
          </w:p>
        </w:tc>
        <w:tc>
          <w:tcPr>
            <w:tcW w:w="1568"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56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基金运作</w:t>
            </w:r>
          </w:p>
          <w:p>
            <w:pPr>
              <w:jc w:val="center"/>
              <w:rPr>
                <w:rFonts w:hint="eastAsia" w:ascii="仿宋" w:hAnsi="仿宋" w:eastAsia="仿宋" w:cs="仿宋"/>
                <w:sz w:val="24"/>
                <w:szCs w:val="24"/>
              </w:rPr>
            </w:pPr>
            <w:r>
              <w:rPr>
                <w:rFonts w:hint="eastAsia" w:ascii="仿宋" w:hAnsi="仿宋" w:eastAsia="仿宋" w:cs="仿宋"/>
                <w:sz w:val="24"/>
                <w:szCs w:val="24"/>
              </w:rPr>
              <w:t>管理</w:t>
            </w:r>
          </w:p>
        </w:tc>
        <w:tc>
          <w:tcPr>
            <w:tcW w:w="5423"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《资产管理产品相关会计处理规定》解读与应对</w:t>
            </w:r>
          </w:p>
        </w:tc>
        <w:tc>
          <w:tcPr>
            <w:tcW w:w="1568"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基础设施基金财会难点及政策研究</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证券市场基本结算制度简介</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指数化投资下的ETF运营</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1569" w:type="dxa"/>
            <w:vMerge w:val="continue"/>
            <w:vAlign w:val="center"/>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中国结算港股通结算业务介绍</w:t>
            </w:r>
          </w:p>
        </w:tc>
        <w:tc>
          <w:tcPr>
            <w:tcW w:w="1568"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156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股权投资</w:t>
            </w:r>
          </w:p>
          <w:p>
            <w:pPr>
              <w:jc w:val="center"/>
              <w:rPr>
                <w:rFonts w:hint="eastAsia" w:ascii="仿宋" w:hAnsi="仿宋" w:eastAsia="仿宋" w:cs="仿宋"/>
                <w:sz w:val="24"/>
                <w:szCs w:val="24"/>
              </w:rPr>
            </w:pPr>
            <w:r>
              <w:rPr>
                <w:rFonts w:hint="eastAsia" w:ascii="仿宋" w:hAnsi="仿宋" w:eastAsia="仿宋" w:cs="仿宋"/>
                <w:sz w:val="24"/>
                <w:szCs w:val="24"/>
              </w:rPr>
              <w:t>基金</w:t>
            </w:r>
          </w:p>
        </w:tc>
        <w:tc>
          <w:tcPr>
            <w:tcW w:w="5423"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合伙制私募股权投资基金涉税处理实务探讨</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1569" w:type="dxa"/>
            <w:vMerge w:val="continue"/>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智能电动汽车产业趋势及投资机遇观察</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1569" w:type="dxa"/>
            <w:vMerge w:val="continue"/>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气候技术：实现双碳目标的技术路径</w:t>
            </w:r>
          </w:p>
        </w:tc>
        <w:tc>
          <w:tcPr>
            <w:tcW w:w="1568"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8"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1569"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创新业务</w:t>
            </w:r>
          </w:p>
        </w:tc>
        <w:tc>
          <w:tcPr>
            <w:tcW w:w="5423"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区块链在金融交易后处理中的应用</w:t>
            </w:r>
          </w:p>
        </w:tc>
        <w:tc>
          <w:tcPr>
            <w:tcW w:w="1568"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58"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569" w:type="dxa"/>
            <w:vMerge w:val="continue"/>
          </w:tcPr>
          <w:p>
            <w:pPr>
              <w:jc w:val="center"/>
              <w:rPr>
                <w:rFonts w:hint="eastAsia" w:ascii="仿宋" w:hAnsi="仿宋" w:eastAsia="仿宋" w:cs="仿宋"/>
                <w:sz w:val="24"/>
                <w:szCs w:val="24"/>
              </w:rPr>
            </w:pPr>
          </w:p>
        </w:tc>
        <w:tc>
          <w:tcPr>
            <w:tcW w:w="5423"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基础设施公募REITs基金管理人业务实操要点解析</w:t>
            </w:r>
          </w:p>
        </w:tc>
        <w:tc>
          <w:tcPr>
            <w:tcW w:w="156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bl>
    <w:p>
      <w:pPr>
        <w:widowControl/>
        <w:jc w:val="left"/>
        <w:rPr>
          <w:rFonts w:ascii="仿宋_GB2312" w:eastAsia="仿宋_GB2312"/>
          <w:sz w:val="30"/>
          <w:szCs w:val="30"/>
        </w:rPr>
      </w:pPr>
    </w:p>
    <w:sectPr>
      <w:footerReference r:id="rId3" w:type="default"/>
      <w:pgSz w:w="11906" w:h="16838"/>
      <w:pgMar w:top="1560" w:right="1800" w:bottom="851" w:left="99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206347"/>
    </w:sdtPr>
    <w:sdtContent>
      <w:p>
        <w:pPr>
          <w:pStyle w:val="3"/>
          <w:jc w:val="center"/>
        </w:pPr>
        <w:r>
          <w:fldChar w:fldCharType="begin"/>
        </w:r>
        <w:r>
          <w:instrText xml:space="preserve">PAGE   \* MERGEFORMAT</w:instrText>
        </w:r>
        <w:r>
          <w:fldChar w:fldCharType="separate"/>
        </w:r>
        <w:r>
          <w:rPr>
            <w:lang w:val="zh-CN"/>
          </w:rPr>
          <w:t>-</w:t>
        </w:r>
        <w:r>
          <w:t xml:space="preserve"> 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hMDVkOTQ0OWM5Y2Q1NDg1NDJhODJhOTIyOGNlY2YifQ=="/>
  </w:docVars>
  <w:rsids>
    <w:rsidRoot w:val="006D4433"/>
    <w:rsid w:val="00025024"/>
    <w:rsid w:val="00030A61"/>
    <w:rsid w:val="000344A1"/>
    <w:rsid w:val="00044DFD"/>
    <w:rsid w:val="00056B3B"/>
    <w:rsid w:val="000759A8"/>
    <w:rsid w:val="000816C9"/>
    <w:rsid w:val="00085476"/>
    <w:rsid w:val="000A26D7"/>
    <w:rsid w:val="000B2B1E"/>
    <w:rsid w:val="000D1504"/>
    <w:rsid w:val="000D2DBE"/>
    <w:rsid w:val="000D600B"/>
    <w:rsid w:val="000E2419"/>
    <w:rsid w:val="001333A6"/>
    <w:rsid w:val="0014516C"/>
    <w:rsid w:val="00145A91"/>
    <w:rsid w:val="00162BC4"/>
    <w:rsid w:val="0016646E"/>
    <w:rsid w:val="001808CC"/>
    <w:rsid w:val="00180E68"/>
    <w:rsid w:val="00186B99"/>
    <w:rsid w:val="001B0A3D"/>
    <w:rsid w:val="001C1586"/>
    <w:rsid w:val="001C2AAD"/>
    <w:rsid w:val="001D612E"/>
    <w:rsid w:val="001E2AA9"/>
    <w:rsid w:val="001E4202"/>
    <w:rsid w:val="001E5E03"/>
    <w:rsid w:val="00224F97"/>
    <w:rsid w:val="00237782"/>
    <w:rsid w:val="00263DA4"/>
    <w:rsid w:val="00281612"/>
    <w:rsid w:val="00286CFF"/>
    <w:rsid w:val="00295A63"/>
    <w:rsid w:val="002A5485"/>
    <w:rsid w:val="002A794C"/>
    <w:rsid w:val="002B32A8"/>
    <w:rsid w:val="002C282B"/>
    <w:rsid w:val="002D00D7"/>
    <w:rsid w:val="002D0A65"/>
    <w:rsid w:val="002E3AD1"/>
    <w:rsid w:val="002E508A"/>
    <w:rsid w:val="002F07F7"/>
    <w:rsid w:val="002F1CF8"/>
    <w:rsid w:val="002F2BAC"/>
    <w:rsid w:val="002F3FF9"/>
    <w:rsid w:val="002F5022"/>
    <w:rsid w:val="003064AD"/>
    <w:rsid w:val="00320E2F"/>
    <w:rsid w:val="00322250"/>
    <w:rsid w:val="003332DE"/>
    <w:rsid w:val="003472FC"/>
    <w:rsid w:val="003613FF"/>
    <w:rsid w:val="00365030"/>
    <w:rsid w:val="00371A18"/>
    <w:rsid w:val="003B04DE"/>
    <w:rsid w:val="003B4245"/>
    <w:rsid w:val="003C0B8E"/>
    <w:rsid w:val="003E4651"/>
    <w:rsid w:val="00406DA7"/>
    <w:rsid w:val="0040701B"/>
    <w:rsid w:val="004229BA"/>
    <w:rsid w:val="00432635"/>
    <w:rsid w:val="00447602"/>
    <w:rsid w:val="00451EC0"/>
    <w:rsid w:val="00491661"/>
    <w:rsid w:val="004A0E3C"/>
    <w:rsid w:val="004A2EC6"/>
    <w:rsid w:val="004B525F"/>
    <w:rsid w:val="004B56A3"/>
    <w:rsid w:val="004E3DC5"/>
    <w:rsid w:val="00500825"/>
    <w:rsid w:val="00505F8F"/>
    <w:rsid w:val="00512052"/>
    <w:rsid w:val="005209E1"/>
    <w:rsid w:val="005278BB"/>
    <w:rsid w:val="00533434"/>
    <w:rsid w:val="0055222F"/>
    <w:rsid w:val="005639DA"/>
    <w:rsid w:val="00564BC9"/>
    <w:rsid w:val="005A23D0"/>
    <w:rsid w:val="005A2CF9"/>
    <w:rsid w:val="005A5CE2"/>
    <w:rsid w:val="005D331C"/>
    <w:rsid w:val="005E0CF9"/>
    <w:rsid w:val="0060259C"/>
    <w:rsid w:val="00607AC0"/>
    <w:rsid w:val="00641C5F"/>
    <w:rsid w:val="0069222C"/>
    <w:rsid w:val="00693BA7"/>
    <w:rsid w:val="006B7B0C"/>
    <w:rsid w:val="006D4433"/>
    <w:rsid w:val="006F7F1C"/>
    <w:rsid w:val="00703671"/>
    <w:rsid w:val="00711E9D"/>
    <w:rsid w:val="00735037"/>
    <w:rsid w:val="007354D1"/>
    <w:rsid w:val="00744C57"/>
    <w:rsid w:val="00754629"/>
    <w:rsid w:val="00755C3E"/>
    <w:rsid w:val="0076452F"/>
    <w:rsid w:val="007870AC"/>
    <w:rsid w:val="007A185F"/>
    <w:rsid w:val="007C1B52"/>
    <w:rsid w:val="007E7C1F"/>
    <w:rsid w:val="00846AD7"/>
    <w:rsid w:val="00851B06"/>
    <w:rsid w:val="00854C8E"/>
    <w:rsid w:val="00873487"/>
    <w:rsid w:val="008740D1"/>
    <w:rsid w:val="00874209"/>
    <w:rsid w:val="0087786B"/>
    <w:rsid w:val="0088502A"/>
    <w:rsid w:val="008A2568"/>
    <w:rsid w:val="008A5F01"/>
    <w:rsid w:val="008B1750"/>
    <w:rsid w:val="008B39DB"/>
    <w:rsid w:val="008B43A3"/>
    <w:rsid w:val="008B49EB"/>
    <w:rsid w:val="008D40A5"/>
    <w:rsid w:val="008E378E"/>
    <w:rsid w:val="008F51CE"/>
    <w:rsid w:val="009004CC"/>
    <w:rsid w:val="009124D2"/>
    <w:rsid w:val="00912C32"/>
    <w:rsid w:val="009258DB"/>
    <w:rsid w:val="0093293B"/>
    <w:rsid w:val="009370C5"/>
    <w:rsid w:val="00965066"/>
    <w:rsid w:val="00965B4E"/>
    <w:rsid w:val="009A36C4"/>
    <w:rsid w:val="009A4CD3"/>
    <w:rsid w:val="009B4594"/>
    <w:rsid w:val="009C6410"/>
    <w:rsid w:val="009C67C1"/>
    <w:rsid w:val="009D1530"/>
    <w:rsid w:val="009D2CA0"/>
    <w:rsid w:val="009D5D33"/>
    <w:rsid w:val="009E511B"/>
    <w:rsid w:val="009F1508"/>
    <w:rsid w:val="009F2715"/>
    <w:rsid w:val="009F2CEC"/>
    <w:rsid w:val="009F365F"/>
    <w:rsid w:val="009F4907"/>
    <w:rsid w:val="00A0126F"/>
    <w:rsid w:val="00A01F2F"/>
    <w:rsid w:val="00A10F2E"/>
    <w:rsid w:val="00A323B8"/>
    <w:rsid w:val="00A33BC8"/>
    <w:rsid w:val="00A409FD"/>
    <w:rsid w:val="00A45804"/>
    <w:rsid w:val="00A4592A"/>
    <w:rsid w:val="00A6209F"/>
    <w:rsid w:val="00A63520"/>
    <w:rsid w:val="00A64BB8"/>
    <w:rsid w:val="00A751C2"/>
    <w:rsid w:val="00A7582F"/>
    <w:rsid w:val="00A83D8E"/>
    <w:rsid w:val="00AB7C6F"/>
    <w:rsid w:val="00AE32BD"/>
    <w:rsid w:val="00AE3E7B"/>
    <w:rsid w:val="00B03F03"/>
    <w:rsid w:val="00B11D0A"/>
    <w:rsid w:val="00B25E3D"/>
    <w:rsid w:val="00B35E76"/>
    <w:rsid w:val="00B44FA1"/>
    <w:rsid w:val="00B52F69"/>
    <w:rsid w:val="00B55C8D"/>
    <w:rsid w:val="00B64AEE"/>
    <w:rsid w:val="00B77452"/>
    <w:rsid w:val="00BA0BE8"/>
    <w:rsid w:val="00BB1ACB"/>
    <w:rsid w:val="00BD73C6"/>
    <w:rsid w:val="00BE42E0"/>
    <w:rsid w:val="00C2498A"/>
    <w:rsid w:val="00C53525"/>
    <w:rsid w:val="00C655F9"/>
    <w:rsid w:val="00C854BE"/>
    <w:rsid w:val="00C91B72"/>
    <w:rsid w:val="00C95F0B"/>
    <w:rsid w:val="00C9789B"/>
    <w:rsid w:val="00CA40B1"/>
    <w:rsid w:val="00CB073B"/>
    <w:rsid w:val="00CB2756"/>
    <w:rsid w:val="00CB2B0F"/>
    <w:rsid w:val="00CD10D0"/>
    <w:rsid w:val="00CD1231"/>
    <w:rsid w:val="00CD645D"/>
    <w:rsid w:val="00CE5C16"/>
    <w:rsid w:val="00CF6062"/>
    <w:rsid w:val="00D04BAE"/>
    <w:rsid w:val="00D211B2"/>
    <w:rsid w:val="00D214D3"/>
    <w:rsid w:val="00D331C3"/>
    <w:rsid w:val="00D34DD0"/>
    <w:rsid w:val="00D34EC9"/>
    <w:rsid w:val="00D43F5F"/>
    <w:rsid w:val="00D53D2F"/>
    <w:rsid w:val="00D53F84"/>
    <w:rsid w:val="00D574A4"/>
    <w:rsid w:val="00D854E2"/>
    <w:rsid w:val="00DB028D"/>
    <w:rsid w:val="00DB7A76"/>
    <w:rsid w:val="00DC239F"/>
    <w:rsid w:val="00DF2090"/>
    <w:rsid w:val="00E05B6B"/>
    <w:rsid w:val="00E23BD6"/>
    <w:rsid w:val="00E31D2F"/>
    <w:rsid w:val="00E37A04"/>
    <w:rsid w:val="00E663DC"/>
    <w:rsid w:val="00E73958"/>
    <w:rsid w:val="00EB472F"/>
    <w:rsid w:val="00EC07B1"/>
    <w:rsid w:val="00EC1E15"/>
    <w:rsid w:val="00EE2A0C"/>
    <w:rsid w:val="00EE6501"/>
    <w:rsid w:val="00F04E18"/>
    <w:rsid w:val="00F12193"/>
    <w:rsid w:val="00F14E71"/>
    <w:rsid w:val="00F2456E"/>
    <w:rsid w:val="00F6713B"/>
    <w:rsid w:val="00F671EE"/>
    <w:rsid w:val="00F71845"/>
    <w:rsid w:val="00F746E6"/>
    <w:rsid w:val="00F76458"/>
    <w:rsid w:val="00F778E3"/>
    <w:rsid w:val="00F80E58"/>
    <w:rsid w:val="00F8395E"/>
    <w:rsid w:val="00F87485"/>
    <w:rsid w:val="00F92EA1"/>
    <w:rsid w:val="00F97C04"/>
    <w:rsid w:val="00FB31EB"/>
    <w:rsid w:val="00FB565B"/>
    <w:rsid w:val="00FD0482"/>
    <w:rsid w:val="00FE3236"/>
    <w:rsid w:val="00FE44D5"/>
    <w:rsid w:val="00FE5F92"/>
    <w:rsid w:val="01065C14"/>
    <w:rsid w:val="01605049"/>
    <w:rsid w:val="0A9153E6"/>
    <w:rsid w:val="0B3C6DA8"/>
    <w:rsid w:val="127DB0B4"/>
    <w:rsid w:val="15E07D46"/>
    <w:rsid w:val="1C0E3856"/>
    <w:rsid w:val="1C7709D3"/>
    <w:rsid w:val="1E857C1D"/>
    <w:rsid w:val="21B26DDB"/>
    <w:rsid w:val="21E951CE"/>
    <w:rsid w:val="2594515E"/>
    <w:rsid w:val="28CA4CCA"/>
    <w:rsid w:val="2DAE6E15"/>
    <w:rsid w:val="2FDF4DDF"/>
    <w:rsid w:val="33743E63"/>
    <w:rsid w:val="36B97ADD"/>
    <w:rsid w:val="37C30C14"/>
    <w:rsid w:val="3E89270D"/>
    <w:rsid w:val="3FF636DD"/>
    <w:rsid w:val="420F4CB4"/>
    <w:rsid w:val="429E2F59"/>
    <w:rsid w:val="46B03178"/>
    <w:rsid w:val="49592D00"/>
    <w:rsid w:val="52CFBAD7"/>
    <w:rsid w:val="54384419"/>
    <w:rsid w:val="57432CD7"/>
    <w:rsid w:val="57B503D9"/>
    <w:rsid w:val="5CDE222F"/>
    <w:rsid w:val="615415CF"/>
    <w:rsid w:val="662310B4"/>
    <w:rsid w:val="673750C3"/>
    <w:rsid w:val="69A116C4"/>
    <w:rsid w:val="6D7EA34C"/>
    <w:rsid w:val="6F6C28AE"/>
    <w:rsid w:val="70067412"/>
    <w:rsid w:val="721A7529"/>
    <w:rsid w:val="758703A6"/>
    <w:rsid w:val="76DB5FBA"/>
    <w:rsid w:val="7CF90C53"/>
    <w:rsid w:val="7EF69A42"/>
    <w:rsid w:val="F7B9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1700</Words>
  <Characters>1890</Characters>
  <Lines>16</Lines>
  <Paragraphs>4</Paragraphs>
  <TotalTime>20</TotalTime>
  <ScaleCrop>false</ScaleCrop>
  <LinksUpToDate>false</LinksUpToDate>
  <CharactersWithSpaces>1986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2021-10-31T14:56:00Z</dcterms:created>
  <dc:creator>马雯:校对套红分阅</dc:creator>
  <cp:lastModifiedBy>bgs-shx1</cp:lastModifiedBy>
  <cp:lastPrinted>2019-11-20T11:30:00Z</cp:lastPrinted>
  <dcterms:modified xsi:type="dcterms:W3CDTF">2022-11-07T09:38:39Z</dcterms:modified>
  <dc:title>中国证券投资基金业协会</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403D45E752B9415C9F0538DCF206AA0A</vt:lpwstr>
  </property>
</Properties>
</file>