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10" w:rsidRPr="000E3B10" w:rsidRDefault="000E3B10" w:rsidP="000E3B10">
      <w:pPr>
        <w:jc w:val="center"/>
        <w:rPr>
          <w:rFonts w:ascii="黑体" w:eastAsia="黑体" w:hAnsi="黑体"/>
          <w:sz w:val="36"/>
          <w:szCs w:val="30"/>
        </w:rPr>
      </w:pPr>
      <w:r w:rsidRPr="000E3B10">
        <w:rPr>
          <w:rFonts w:ascii="黑体" w:eastAsia="黑体" w:hAnsi="黑体" w:hint="eastAsia"/>
          <w:sz w:val="36"/>
          <w:szCs w:val="30"/>
        </w:rPr>
        <w:t>基金从业资格全国统一考试大纲</w:t>
      </w:r>
    </w:p>
    <w:p w:rsidR="000E3B10" w:rsidRPr="000E3B10" w:rsidRDefault="000E3B10" w:rsidP="000E3B10">
      <w:pPr>
        <w:jc w:val="center"/>
        <w:rPr>
          <w:rFonts w:ascii="黑体" w:eastAsia="黑体" w:hAnsi="黑体"/>
          <w:sz w:val="36"/>
          <w:szCs w:val="30"/>
        </w:rPr>
      </w:pPr>
      <w:r w:rsidRPr="000E3B10">
        <w:rPr>
          <w:rFonts w:ascii="黑体" w:eastAsia="黑体" w:hAnsi="黑体" w:hint="eastAsia"/>
          <w:sz w:val="36"/>
          <w:szCs w:val="30"/>
        </w:rPr>
        <w:t>——</w:t>
      </w:r>
      <w:r w:rsidR="00D8680D">
        <w:rPr>
          <w:rFonts w:ascii="黑体" w:eastAsia="黑体" w:hAnsi="黑体" w:hint="eastAsia"/>
          <w:sz w:val="36"/>
          <w:szCs w:val="30"/>
        </w:rPr>
        <w:t>基金</w:t>
      </w:r>
      <w:r w:rsidRPr="000E3B10">
        <w:rPr>
          <w:rFonts w:ascii="黑体" w:eastAsia="黑体" w:hAnsi="黑体" w:hint="eastAsia"/>
          <w:sz w:val="36"/>
          <w:szCs w:val="30"/>
        </w:rPr>
        <w:t>法律法规、职业道德与</w:t>
      </w:r>
      <w:r w:rsidR="00C51D14">
        <w:rPr>
          <w:rFonts w:ascii="黑体" w:eastAsia="黑体" w:hAnsi="黑体" w:hint="eastAsia"/>
          <w:sz w:val="36"/>
          <w:szCs w:val="30"/>
        </w:rPr>
        <w:t>业务规范</w:t>
      </w:r>
      <w:r w:rsidRPr="000E3B10">
        <w:rPr>
          <w:rFonts w:ascii="黑体" w:eastAsia="黑体" w:hAnsi="黑体" w:hint="eastAsia"/>
          <w:sz w:val="36"/>
          <w:szCs w:val="30"/>
        </w:rPr>
        <w:t>（201</w:t>
      </w:r>
      <w:r w:rsidR="009152FB">
        <w:rPr>
          <w:rFonts w:ascii="黑体" w:eastAsia="黑体" w:hAnsi="黑体" w:hint="eastAsia"/>
          <w:sz w:val="36"/>
          <w:szCs w:val="30"/>
        </w:rPr>
        <w:t>6</w:t>
      </w:r>
      <w:r w:rsidRPr="000E3B10">
        <w:rPr>
          <w:rFonts w:ascii="黑体" w:eastAsia="黑体" w:hAnsi="黑体" w:hint="eastAsia"/>
          <w:sz w:val="36"/>
          <w:szCs w:val="30"/>
        </w:rPr>
        <w:t>年度）</w:t>
      </w:r>
    </w:p>
    <w:p w:rsidR="000E3B10" w:rsidRPr="000E3B10" w:rsidRDefault="000E3B10" w:rsidP="00D5121E">
      <w:pPr>
        <w:rPr>
          <w:rFonts w:ascii="黑体" w:eastAsia="黑体" w:hAnsi="黑体"/>
          <w:sz w:val="30"/>
          <w:szCs w:val="30"/>
        </w:rPr>
      </w:pPr>
    </w:p>
    <w:p w:rsidR="007C426F" w:rsidRPr="007E0721" w:rsidRDefault="00D5121E" w:rsidP="00D5121E">
      <w:pPr>
        <w:rPr>
          <w:rFonts w:ascii="黑体" w:eastAsia="黑体" w:hAnsi="黑体"/>
          <w:sz w:val="30"/>
          <w:szCs w:val="30"/>
        </w:rPr>
      </w:pPr>
      <w:r w:rsidRPr="007E0721">
        <w:rPr>
          <w:rFonts w:ascii="黑体" w:eastAsia="黑体" w:hAnsi="黑体" w:hint="eastAsia"/>
          <w:sz w:val="30"/>
          <w:szCs w:val="30"/>
        </w:rPr>
        <w:t>一、总体目标</w:t>
      </w:r>
    </w:p>
    <w:p w:rsidR="007B508E" w:rsidRPr="007E0721" w:rsidRDefault="007E0721" w:rsidP="00E32D74">
      <w:pPr>
        <w:spacing w:line="360" w:lineRule="auto"/>
        <w:ind w:firstLineChars="200" w:firstLine="600"/>
        <w:jc w:val="left"/>
        <w:rPr>
          <w:rFonts w:ascii="楷体" w:eastAsia="楷体" w:hAnsi="楷体"/>
          <w:sz w:val="30"/>
          <w:szCs w:val="30"/>
        </w:rPr>
      </w:pPr>
      <w:r>
        <w:rPr>
          <w:rFonts w:ascii="楷体" w:eastAsia="楷体" w:hAnsi="楷体" w:hint="eastAsia"/>
          <w:sz w:val="30"/>
          <w:szCs w:val="30"/>
        </w:rPr>
        <w:t>基金从业人员应遵循</w:t>
      </w:r>
      <w:r w:rsidR="00D95A96">
        <w:rPr>
          <w:rFonts w:ascii="楷体" w:eastAsia="楷体" w:hAnsi="楷体" w:hint="eastAsia"/>
          <w:sz w:val="30"/>
          <w:szCs w:val="30"/>
        </w:rPr>
        <w:t>《证券投资基金法》、国务院证券监督管理</w:t>
      </w:r>
      <w:r w:rsidR="00822D64">
        <w:rPr>
          <w:rFonts w:ascii="楷体" w:eastAsia="楷体" w:hAnsi="楷体" w:hint="eastAsia"/>
          <w:sz w:val="30"/>
          <w:szCs w:val="30"/>
        </w:rPr>
        <w:t>机构以及基金行业</w:t>
      </w:r>
      <w:r w:rsidR="007F5BCC">
        <w:rPr>
          <w:rFonts w:ascii="楷体" w:eastAsia="楷体" w:hAnsi="楷体" w:hint="eastAsia"/>
          <w:sz w:val="30"/>
          <w:szCs w:val="30"/>
        </w:rPr>
        <w:t>协会</w:t>
      </w:r>
      <w:r w:rsidR="00822D64">
        <w:rPr>
          <w:rFonts w:ascii="楷体" w:eastAsia="楷体" w:hAnsi="楷体" w:hint="eastAsia"/>
          <w:sz w:val="30"/>
          <w:szCs w:val="30"/>
        </w:rPr>
        <w:t>出台</w:t>
      </w:r>
      <w:r w:rsidR="007C426F" w:rsidRPr="007E0721">
        <w:rPr>
          <w:rFonts w:ascii="楷体" w:eastAsia="楷体" w:hAnsi="楷体" w:hint="eastAsia"/>
          <w:sz w:val="30"/>
          <w:szCs w:val="30"/>
        </w:rPr>
        <w:t>的各类法律法规</w:t>
      </w:r>
      <w:r w:rsidR="00E32D74">
        <w:rPr>
          <w:rFonts w:ascii="楷体" w:eastAsia="楷体" w:hAnsi="楷体" w:hint="eastAsia"/>
          <w:sz w:val="30"/>
          <w:szCs w:val="30"/>
        </w:rPr>
        <w:t>、自律</w:t>
      </w:r>
      <w:bookmarkStart w:id="0" w:name="_GoBack"/>
      <w:bookmarkEnd w:id="0"/>
      <w:r w:rsidR="00E32D74">
        <w:rPr>
          <w:rFonts w:ascii="楷体" w:eastAsia="楷体" w:hAnsi="楷体" w:hint="eastAsia"/>
          <w:sz w:val="30"/>
          <w:szCs w:val="30"/>
        </w:rPr>
        <w:t>规则</w:t>
      </w:r>
      <w:r w:rsidR="007C426F" w:rsidRPr="007E0721">
        <w:rPr>
          <w:rFonts w:ascii="楷体" w:eastAsia="楷体" w:hAnsi="楷体" w:hint="eastAsia"/>
          <w:sz w:val="30"/>
          <w:szCs w:val="30"/>
        </w:rPr>
        <w:t>和职业道德</w:t>
      </w:r>
      <w:r w:rsidR="005A758C">
        <w:rPr>
          <w:rFonts w:ascii="楷体" w:eastAsia="楷体" w:hAnsi="楷体" w:hint="eastAsia"/>
          <w:sz w:val="30"/>
          <w:szCs w:val="30"/>
        </w:rPr>
        <w:t>，并</w:t>
      </w:r>
      <w:r w:rsidR="00C51D14">
        <w:rPr>
          <w:rFonts w:ascii="楷体" w:eastAsia="楷体" w:hAnsi="楷体" w:hint="eastAsia"/>
          <w:sz w:val="30"/>
          <w:szCs w:val="30"/>
        </w:rPr>
        <w:t>掌握基本业务规范</w:t>
      </w:r>
      <w:r w:rsidR="007C426F" w:rsidRPr="007E0721">
        <w:rPr>
          <w:rFonts w:ascii="楷体" w:eastAsia="楷体" w:hAnsi="楷体" w:hint="eastAsia"/>
          <w:sz w:val="30"/>
          <w:szCs w:val="30"/>
        </w:rPr>
        <w:t>。为提升基金从业人员</w:t>
      </w:r>
      <w:r w:rsidR="00E32D74">
        <w:rPr>
          <w:rFonts w:ascii="楷体" w:eastAsia="楷体" w:hAnsi="楷体" w:hint="eastAsia"/>
          <w:sz w:val="30"/>
          <w:szCs w:val="30"/>
        </w:rPr>
        <w:t>合</w:t>
      </w:r>
      <w:proofErr w:type="gramStart"/>
      <w:r w:rsidR="00E32D74">
        <w:rPr>
          <w:rFonts w:ascii="楷体" w:eastAsia="楷体" w:hAnsi="楷体" w:hint="eastAsia"/>
          <w:sz w:val="30"/>
          <w:szCs w:val="30"/>
        </w:rPr>
        <w:t>规</w:t>
      </w:r>
      <w:proofErr w:type="gramEnd"/>
      <w:r w:rsidR="00E32D74">
        <w:rPr>
          <w:rFonts w:ascii="楷体" w:eastAsia="楷体" w:hAnsi="楷体" w:hint="eastAsia"/>
          <w:sz w:val="30"/>
          <w:szCs w:val="30"/>
        </w:rPr>
        <w:t>合法意识，提高</w:t>
      </w:r>
      <w:r w:rsidR="007C426F" w:rsidRPr="007E0721">
        <w:rPr>
          <w:rFonts w:ascii="楷体" w:eastAsia="楷体" w:hAnsi="楷体" w:hint="eastAsia"/>
          <w:sz w:val="30"/>
          <w:szCs w:val="30"/>
        </w:rPr>
        <w:t>职业道德</w:t>
      </w:r>
      <w:r w:rsidR="00C51D14">
        <w:rPr>
          <w:rFonts w:ascii="楷体" w:eastAsia="楷体" w:hAnsi="楷体" w:hint="eastAsia"/>
          <w:sz w:val="30"/>
          <w:szCs w:val="30"/>
        </w:rPr>
        <w:t>与执业规范</w:t>
      </w:r>
      <w:r w:rsidRPr="007E0721">
        <w:rPr>
          <w:rFonts w:ascii="楷体" w:eastAsia="楷体" w:hAnsi="楷体" w:hint="eastAsia"/>
          <w:sz w:val="30"/>
          <w:szCs w:val="30"/>
        </w:rPr>
        <w:t>水平</w:t>
      </w:r>
      <w:r w:rsidR="007C426F" w:rsidRPr="007E0721">
        <w:rPr>
          <w:rFonts w:ascii="楷体" w:eastAsia="楷体" w:hAnsi="楷体" w:hint="eastAsia"/>
          <w:sz w:val="30"/>
          <w:szCs w:val="30"/>
        </w:rPr>
        <w:t>，</w:t>
      </w:r>
      <w:r w:rsidRPr="007E0721">
        <w:rPr>
          <w:rFonts w:ascii="楷体" w:eastAsia="楷体" w:hAnsi="楷体" w:hint="eastAsia"/>
          <w:sz w:val="30"/>
          <w:szCs w:val="30"/>
        </w:rPr>
        <w:t>特设《</w:t>
      </w:r>
      <w:r w:rsidR="00D95A96">
        <w:rPr>
          <w:rFonts w:ascii="楷体" w:eastAsia="楷体" w:hAnsi="楷体" w:hint="eastAsia"/>
          <w:sz w:val="30"/>
          <w:szCs w:val="30"/>
        </w:rPr>
        <w:t>基金</w:t>
      </w:r>
      <w:r w:rsidRPr="007E0721">
        <w:rPr>
          <w:rFonts w:ascii="楷体" w:eastAsia="楷体" w:hAnsi="楷体" w:hint="eastAsia"/>
          <w:sz w:val="30"/>
          <w:szCs w:val="30"/>
        </w:rPr>
        <w:t>法律法规、职业道德与</w:t>
      </w:r>
      <w:r w:rsidR="00C51D14">
        <w:rPr>
          <w:rFonts w:ascii="楷体" w:eastAsia="楷体" w:hAnsi="楷体" w:hint="eastAsia"/>
          <w:sz w:val="30"/>
          <w:szCs w:val="30"/>
        </w:rPr>
        <w:t>业务规范</w:t>
      </w:r>
      <w:r w:rsidR="00E32D74">
        <w:rPr>
          <w:rFonts w:ascii="楷体" w:eastAsia="楷体" w:hAnsi="楷体" w:hint="eastAsia"/>
          <w:sz w:val="30"/>
          <w:szCs w:val="30"/>
        </w:rPr>
        <w:t>》科目</w:t>
      </w:r>
      <w:r w:rsidRPr="007E0721">
        <w:rPr>
          <w:rFonts w:ascii="楷体" w:eastAsia="楷体" w:hAnsi="楷体" w:hint="eastAsia"/>
          <w:sz w:val="30"/>
          <w:szCs w:val="30"/>
        </w:rPr>
        <w:t>。</w:t>
      </w:r>
    </w:p>
    <w:p w:rsidR="00EB232D" w:rsidRPr="00EB232D" w:rsidRDefault="00EB232D" w:rsidP="00EB232D">
      <w:pPr>
        <w:rPr>
          <w:rFonts w:ascii="黑体" w:eastAsia="黑体" w:hAnsi="黑体"/>
          <w:sz w:val="30"/>
          <w:szCs w:val="30"/>
        </w:rPr>
      </w:pPr>
      <w:r>
        <w:rPr>
          <w:rFonts w:ascii="黑体" w:eastAsia="黑体" w:hAnsi="黑体" w:hint="eastAsia"/>
          <w:sz w:val="30"/>
          <w:szCs w:val="30"/>
        </w:rPr>
        <w:t>二</w:t>
      </w:r>
      <w:r w:rsidRPr="00EB232D">
        <w:rPr>
          <w:rFonts w:ascii="黑体" w:eastAsia="黑体" w:hAnsi="黑体" w:hint="eastAsia"/>
          <w:sz w:val="30"/>
          <w:szCs w:val="30"/>
        </w:rPr>
        <w:t>、能力等级</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sz w:val="30"/>
          <w:szCs w:val="30"/>
        </w:rPr>
        <w:t xml:space="preserve"> 能力等级是对考生专业知识掌握程度的最低要求，分为三个级别：</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sz w:val="30"/>
          <w:szCs w:val="30"/>
        </w:rPr>
        <w:t>（一）</w:t>
      </w:r>
      <w:r w:rsidR="007A671A">
        <w:rPr>
          <w:rFonts w:ascii="楷体" w:eastAsia="楷体" w:hAnsi="楷体" w:hint="eastAsia"/>
          <w:sz w:val="30"/>
          <w:szCs w:val="30"/>
        </w:rPr>
        <w:t>掌握：考生须在考试和实际工作中理解并熟练运用的内容</w:t>
      </w:r>
      <w:r w:rsidRPr="00EB232D">
        <w:rPr>
          <w:rFonts w:ascii="楷体" w:eastAsia="楷体" w:hAnsi="楷体" w:hint="eastAsia"/>
          <w:sz w:val="30"/>
          <w:szCs w:val="30"/>
        </w:rPr>
        <w:t>。</w:t>
      </w:r>
    </w:p>
    <w:p w:rsidR="00EB232D" w:rsidRPr="00EB232D" w:rsidRDefault="00EB232D" w:rsidP="00EB232D">
      <w:pPr>
        <w:spacing w:line="360" w:lineRule="auto"/>
        <w:ind w:firstLineChars="200" w:firstLine="600"/>
        <w:jc w:val="left"/>
        <w:rPr>
          <w:rFonts w:ascii="楷体" w:eastAsia="楷体" w:hAnsi="楷体"/>
          <w:sz w:val="30"/>
          <w:szCs w:val="30"/>
        </w:rPr>
      </w:pPr>
      <w:r w:rsidRPr="00EB232D">
        <w:rPr>
          <w:rFonts w:ascii="楷体" w:eastAsia="楷体" w:hAnsi="楷体" w:hint="eastAsia"/>
          <w:sz w:val="30"/>
          <w:szCs w:val="30"/>
        </w:rPr>
        <w:t>（二）理解：</w:t>
      </w:r>
      <w:r w:rsidR="007A671A">
        <w:rPr>
          <w:rFonts w:ascii="楷体" w:eastAsia="楷体" w:hAnsi="楷体" w:hint="eastAsia"/>
          <w:sz w:val="30"/>
          <w:szCs w:val="30"/>
        </w:rPr>
        <w:t>考生须对该考点的概念、理念、原则、意义、应用范围等有清晰的认识</w:t>
      </w:r>
      <w:r w:rsidRPr="00EB232D">
        <w:rPr>
          <w:rFonts w:ascii="楷体" w:eastAsia="楷体" w:hAnsi="楷体" w:hint="eastAsia"/>
          <w:sz w:val="30"/>
          <w:szCs w:val="30"/>
        </w:rPr>
        <w:t>。</w:t>
      </w:r>
    </w:p>
    <w:p w:rsidR="00EB232D" w:rsidRDefault="007A671A" w:rsidP="00EB232D">
      <w:pPr>
        <w:spacing w:line="360" w:lineRule="auto"/>
        <w:ind w:firstLineChars="200" w:firstLine="600"/>
        <w:jc w:val="left"/>
        <w:rPr>
          <w:rFonts w:ascii="楷体" w:eastAsia="楷体" w:hAnsi="楷体"/>
          <w:sz w:val="30"/>
          <w:szCs w:val="30"/>
        </w:rPr>
      </w:pPr>
      <w:r>
        <w:rPr>
          <w:rFonts w:ascii="楷体" w:eastAsia="楷体" w:hAnsi="楷体" w:hint="eastAsia"/>
          <w:sz w:val="30"/>
          <w:szCs w:val="30"/>
        </w:rPr>
        <w:t>（三）了解：作为泛读内容，考生对其有一个基础的认识</w:t>
      </w:r>
      <w:r w:rsidR="00EB232D" w:rsidRPr="00EB232D">
        <w:rPr>
          <w:rFonts w:ascii="楷体" w:eastAsia="楷体" w:hAnsi="楷体" w:hint="eastAsia"/>
          <w:sz w:val="30"/>
          <w:szCs w:val="30"/>
        </w:rPr>
        <w:t>。</w:t>
      </w:r>
    </w:p>
    <w:p w:rsidR="00EB232D" w:rsidRPr="007E0721" w:rsidRDefault="00EB232D" w:rsidP="00EB232D">
      <w:pPr>
        <w:rPr>
          <w:rFonts w:ascii="黑体" w:eastAsia="黑体" w:hAnsi="黑体"/>
          <w:sz w:val="30"/>
          <w:szCs w:val="30"/>
        </w:rPr>
      </w:pPr>
      <w:r>
        <w:rPr>
          <w:rFonts w:ascii="黑体" w:eastAsia="黑体" w:hAnsi="黑体" w:hint="eastAsia"/>
          <w:sz w:val="30"/>
          <w:szCs w:val="30"/>
        </w:rPr>
        <w:t>三</w:t>
      </w:r>
      <w:r w:rsidRPr="007E0721">
        <w:rPr>
          <w:rFonts w:ascii="黑体" w:eastAsia="黑体" w:hAnsi="黑体" w:hint="eastAsia"/>
          <w:sz w:val="30"/>
          <w:szCs w:val="30"/>
        </w:rPr>
        <w:t>、考试内容与能力要求</w:t>
      </w:r>
    </w:p>
    <w:p w:rsidR="00EB232D" w:rsidRDefault="00EB232D" w:rsidP="00EB232D">
      <w:pPr>
        <w:spacing w:line="360" w:lineRule="auto"/>
        <w:ind w:firstLineChars="200" w:firstLine="600"/>
        <w:jc w:val="left"/>
        <w:rPr>
          <w:rFonts w:ascii="楷体" w:eastAsia="楷体" w:hAnsi="楷体"/>
          <w:sz w:val="30"/>
          <w:szCs w:val="30"/>
        </w:rPr>
      </w:pPr>
      <w:r w:rsidRPr="007E0721">
        <w:rPr>
          <w:rFonts w:ascii="楷体" w:eastAsia="楷体" w:hAnsi="楷体" w:hint="eastAsia"/>
          <w:sz w:val="30"/>
          <w:szCs w:val="30"/>
        </w:rPr>
        <w:t>考生应当根据本科目考试内容与能力等级的要求，在工作中掌握或运用下列相关的法律法规、职业道德标准和</w:t>
      </w:r>
      <w:r w:rsidR="00C51D14">
        <w:rPr>
          <w:rFonts w:ascii="楷体" w:eastAsia="楷体" w:hAnsi="楷体" w:hint="eastAsia"/>
          <w:sz w:val="30"/>
          <w:szCs w:val="30"/>
        </w:rPr>
        <w:t>业务规范</w:t>
      </w:r>
      <w:r w:rsidRPr="007E0721">
        <w:rPr>
          <w:rFonts w:ascii="楷体" w:eastAsia="楷体" w:hAnsi="楷体" w:hint="eastAsia"/>
          <w:sz w:val="30"/>
          <w:szCs w:val="30"/>
        </w:rPr>
        <w:t>，坚守职业价值观、遵循职业道德、坚持职业态度。</w:t>
      </w:r>
    </w:p>
    <w:p w:rsidR="00097763" w:rsidRDefault="009B57B0" w:rsidP="00097763">
      <w:pPr>
        <w:spacing w:line="360" w:lineRule="auto"/>
        <w:ind w:firstLineChars="200" w:firstLine="420"/>
        <w:jc w:val="left"/>
      </w:pPr>
      <w:r>
        <w:fldChar w:fldCharType="begin"/>
      </w:r>
      <w:r w:rsidR="005A4975">
        <w:instrText xml:space="preserve"> LINK </w:instrText>
      </w:r>
      <w:r w:rsidR="002E464F">
        <w:instrText>Excel.Sheet.12</w:instrText>
      </w:r>
      <w:r w:rsidR="002E464F">
        <w:rPr>
          <w:rFonts w:hint="eastAsia"/>
        </w:rPr>
        <w:instrText xml:space="preserve"> "D:\\E</w:instrText>
      </w:r>
      <w:r w:rsidR="002E464F">
        <w:rPr>
          <w:rFonts w:hint="eastAsia"/>
        </w:rPr>
        <w:instrText>盘</w:instrText>
      </w:r>
      <w:r w:rsidR="002E464F">
        <w:rPr>
          <w:rFonts w:hint="eastAsia"/>
        </w:rPr>
        <w:instrText>\\AMAC\\2015</w:instrText>
      </w:r>
      <w:r w:rsidR="002E464F">
        <w:rPr>
          <w:rFonts w:hint="eastAsia"/>
        </w:rPr>
        <w:instrText>年从业资格考试工作</w:instrText>
      </w:r>
      <w:r w:rsidR="002E464F">
        <w:rPr>
          <w:rFonts w:hint="eastAsia"/>
        </w:rPr>
        <w:instrText>\\2015</w:instrText>
      </w:r>
      <w:r w:rsidR="002E464F">
        <w:rPr>
          <w:rFonts w:hint="eastAsia"/>
        </w:rPr>
        <w:instrText>年</w:instrText>
      </w:r>
      <w:r w:rsidR="002E464F">
        <w:rPr>
          <w:rFonts w:hint="eastAsia"/>
        </w:rPr>
        <w:instrText>7</w:instrText>
      </w:r>
      <w:r w:rsidR="002E464F">
        <w:rPr>
          <w:rFonts w:hint="eastAsia"/>
        </w:rPr>
        <w:instrText>月</w:instrText>
      </w:r>
      <w:r w:rsidR="002E464F">
        <w:rPr>
          <w:rFonts w:hint="eastAsia"/>
        </w:rPr>
        <w:instrText>8-10</w:instrText>
      </w:r>
      <w:r w:rsidR="002E464F">
        <w:rPr>
          <w:rFonts w:hint="eastAsia"/>
        </w:rPr>
        <w:instrText>日第二次命题会议</w:instrText>
      </w:r>
      <w:r w:rsidR="002E464F">
        <w:rPr>
          <w:rFonts w:hint="eastAsia"/>
        </w:rPr>
        <w:instrText>\\2015</w:instrText>
      </w:r>
      <w:r w:rsidR="002E464F">
        <w:rPr>
          <w:rFonts w:hint="eastAsia"/>
        </w:rPr>
        <w:instrText>年</w:instrText>
      </w:r>
      <w:r w:rsidR="002E464F">
        <w:rPr>
          <w:rFonts w:hint="eastAsia"/>
        </w:rPr>
        <w:instrText>7</w:instrText>
      </w:r>
      <w:r w:rsidR="002E464F">
        <w:rPr>
          <w:rFonts w:hint="eastAsia"/>
        </w:rPr>
        <w:instrText>月</w:instrText>
      </w:r>
      <w:r w:rsidR="002E464F">
        <w:rPr>
          <w:rFonts w:hint="eastAsia"/>
        </w:rPr>
        <w:instrText>8-10</w:instrText>
      </w:r>
      <w:r w:rsidR="002E464F">
        <w:rPr>
          <w:rFonts w:hint="eastAsia"/>
        </w:rPr>
        <w:instrText>日命题会</w:instrText>
      </w:r>
      <w:r w:rsidR="002E464F">
        <w:rPr>
          <w:rFonts w:hint="eastAsia"/>
        </w:rPr>
        <w:instrText>\\2015</w:instrText>
      </w:r>
      <w:r w:rsidR="002E464F">
        <w:rPr>
          <w:rFonts w:hint="eastAsia"/>
        </w:rPr>
        <w:instrText>年从业考试考纲及命题考点</w:instrText>
      </w:r>
      <w:r w:rsidR="002E464F">
        <w:rPr>
          <w:rFonts w:hint="eastAsia"/>
        </w:rPr>
        <w:instrText>20150710-</w:instrText>
      </w:r>
      <w:r w:rsidR="002E464F">
        <w:rPr>
          <w:rFonts w:hint="eastAsia"/>
        </w:rPr>
        <w:instrText>终板</w:instrText>
      </w:r>
      <w:r w:rsidR="002E464F">
        <w:rPr>
          <w:rFonts w:hint="eastAsia"/>
        </w:rPr>
        <w:instrText>.xlsx" "</w:instrText>
      </w:r>
      <w:r w:rsidR="002E464F">
        <w:rPr>
          <w:rFonts w:hint="eastAsia"/>
        </w:rPr>
        <w:instrText>大纲科目一</w:instrText>
      </w:r>
      <w:r w:rsidR="002E464F">
        <w:rPr>
          <w:rFonts w:hint="eastAsia"/>
        </w:rPr>
        <w:instrText xml:space="preserve"> (</w:instrText>
      </w:r>
      <w:r w:rsidR="002E464F">
        <w:rPr>
          <w:rFonts w:hint="eastAsia"/>
        </w:rPr>
        <w:instrText>发布版</w:instrText>
      </w:r>
      <w:r w:rsidR="002E464F">
        <w:rPr>
          <w:rFonts w:hint="eastAsia"/>
        </w:rPr>
        <w:instrText xml:space="preserve">)!R2C1:R118C4" </w:instrText>
      </w:r>
      <w:r w:rsidR="005A4975">
        <w:instrText xml:space="preserve">\a \f 4 \h </w:instrText>
      </w:r>
      <w:r w:rsidR="00921FFE">
        <w:instrText xml:space="preserve"> \* MERGEFORMAT </w:instrText>
      </w:r>
      <w:r>
        <w:fldChar w:fldCharType="separate"/>
      </w:r>
    </w:p>
    <w:tbl>
      <w:tblPr>
        <w:tblW w:w="9722" w:type="dxa"/>
        <w:jc w:val="center"/>
        <w:tblLook w:val="04A0" w:firstRow="1" w:lastRow="0" w:firstColumn="1" w:lastColumn="0" w:noHBand="0" w:noVBand="1"/>
      </w:tblPr>
      <w:tblGrid>
        <w:gridCol w:w="1208"/>
        <w:gridCol w:w="1754"/>
        <w:gridCol w:w="1056"/>
        <w:gridCol w:w="5704"/>
      </w:tblGrid>
      <w:tr w:rsidR="00097763" w:rsidRPr="00097763" w:rsidTr="00097763">
        <w:trPr>
          <w:divId w:val="431824671"/>
          <w:trHeight w:val="480"/>
          <w:jc w:val="center"/>
        </w:trPr>
        <w:tc>
          <w:tcPr>
            <w:tcW w:w="12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b/>
                <w:bCs/>
                <w:color w:val="000000"/>
                <w:kern w:val="0"/>
                <w:sz w:val="24"/>
                <w:szCs w:val="24"/>
              </w:rPr>
            </w:pPr>
            <w:r w:rsidRPr="00097763">
              <w:rPr>
                <w:rFonts w:ascii="宋体" w:eastAsia="宋体" w:hAnsi="宋体" w:cs="宋体" w:hint="eastAsia"/>
                <w:b/>
                <w:bCs/>
                <w:color w:val="000000"/>
                <w:kern w:val="0"/>
                <w:sz w:val="24"/>
                <w:szCs w:val="24"/>
              </w:rPr>
              <w:lastRenderedPageBreak/>
              <w:t>对应教材章名</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center"/>
              <w:rPr>
                <w:rFonts w:ascii="宋体" w:eastAsia="宋体" w:hAnsi="宋体" w:cs="宋体"/>
                <w:b/>
                <w:bCs/>
                <w:color w:val="000000"/>
                <w:kern w:val="0"/>
                <w:sz w:val="24"/>
                <w:szCs w:val="24"/>
              </w:rPr>
            </w:pPr>
            <w:r w:rsidRPr="00097763">
              <w:rPr>
                <w:rFonts w:ascii="宋体" w:eastAsia="宋体" w:hAnsi="宋体" w:cs="宋体" w:hint="eastAsia"/>
                <w:b/>
                <w:bCs/>
                <w:color w:val="000000"/>
                <w:kern w:val="0"/>
                <w:sz w:val="24"/>
                <w:szCs w:val="24"/>
              </w:rPr>
              <w:t>节名</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b/>
                <w:bCs/>
                <w:color w:val="000000"/>
                <w:kern w:val="0"/>
                <w:sz w:val="24"/>
                <w:szCs w:val="24"/>
              </w:rPr>
            </w:pPr>
            <w:r w:rsidRPr="00097763">
              <w:rPr>
                <w:rFonts w:ascii="宋体" w:eastAsia="宋体" w:hAnsi="宋体" w:cs="宋体" w:hint="eastAsia"/>
                <w:b/>
                <w:bCs/>
                <w:color w:val="000000"/>
                <w:kern w:val="0"/>
                <w:sz w:val="24"/>
                <w:szCs w:val="24"/>
              </w:rPr>
              <w:t>编号</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33621F">
            <w:pPr>
              <w:widowControl/>
              <w:jc w:val="left"/>
              <w:rPr>
                <w:rFonts w:ascii="宋体" w:eastAsia="宋体" w:hAnsi="宋体" w:cs="宋体"/>
                <w:b/>
                <w:bCs/>
                <w:color w:val="000000"/>
                <w:kern w:val="0"/>
                <w:sz w:val="24"/>
                <w:szCs w:val="24"/>
              </w:rPr>
            </w:pPr>
            <w:r w:rsidRPr="00097763">
              <w:rPr>
                <w:rFonts w:ascii="宋体" w:eastAsia="宋体" w:hAnsi="宋体" w:cs="宋体" w:hint="eastAsia"/>
                <w:b/>
                <w:bCs/>
                <w:color w:val="000000"/>
                <w:kern w:val="0"/>
                <w:sz w:val="24"/>
                <w:szCs w:val="24"/>
              </w:rPr>
              <w:t>学习目标(</w:t>
            </w:r>
            <w:r w:rsidR="0033621F" w:rsidRPr="00097763">
              <w:rPr>
                <w:rFonts w:ascii="宋体" w:eastAsia="宋体" w:hAnsi="宋体" w:cs="宋体" w:hint="eastAsia"/>
                <w:b/>
                <w:bCs/>
                <w:color w:val="000000"/>
                <w:kern w:val="0"/>
                <w:sz w:val="24"/>
                <w:szCs w:val="24"/>
              </w:rPr>
              <w:t>掌握</w:t>
            </w:r>
            <w:r w:rsidRPr="00097763">
              <w:rPr>
                <w:rFonts w:ascii="宋体" w:eastAsia="宋体" w:hAnsi="宋体" w:cs="宋体" w:hint="eastAsia"/>
                <w:b/>
                <w:bCs/>
                <w:color w:val="000000"/>
                <w:kern w:val="0"/>
                <w:sz w:val="24"/>
                <w:szCs w:val="24"/>
              </w:rPr>
              <w:t>/理解/</w:t>
            </w:r>
            <w:r w:rsidR="0033621F" w:rsidRPr="00097763">
              <w:rPr>
                <w:rFonts w:ascii="宋体" w:eastAsia="宋体" w:hAnsi="宋体" w:cs="宋体" w:hint="eastAsia"/>
                <w:b/>
                <w:bCs/>
                <w:color w:val="000000"/>
                <w:kern w:val="0"/>
                <w:sz w:val="24"/>
                <w:szCs w:val="24"/>
              </w:rPr>
              <w:t>了解</w:t>
            </w:r>
            <w:r w:rsidRPr="00097763">
              <w:rPr>
                <w:rFonts w:ascii="宋体" w:eastAsia="宋体" w:hAnsi="宋体" w:cs="宋体" w:hint="eastAsia"/>
                <w:b/>
                <w:bCs/>
                <w:color w:val="000000"/>
                <w:kern w:val="0"/>
                <w:sz w:val="24"/>
                <w:szCs w:val="24"/>
              </w:rPr>
              <w:t>）</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1.金融、资产管理与投资基金</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1.金融市场与资产管理行业</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A33ABA" w:rsidP="00795B6D">
            <w:pPr>
              <w:widowControl/>
              <w:jc w:val="left"/>
              <w:rPr>
                <w:rFonts w:ascii="宋体" w:eastAsia="宋体" w:hAnsi="宋体" w:cs="宋体"/>
                <w:color w:val="000000"/>
                <w:kern w:val="0"/>
                <w:sz w:val="24"/>
                <w:szCs w:val="24"/>
              </w:rPr>
            </w:pPr>
            <w:r w:rsidRPr="00795B6D">
              <w:rPr>
                <w:rFonts w:ascii="宋体" w:eastAsia="宋体" w:hAnsi="宋体" w:cs="宋体" w:hint="eastAsia"/>
                <w:color w:val="000000"/>
                <w:kern w:val="0"/>
                <w:sz w:val="24"/>
                <w:szCs w:val="24"/>
              </w:rPr>
              <w:t>了解</w:t>
            </w:r>
            <w:r w:rsidR="00097763" w:rsidRPr="00097763">
              <w:rPr>
                <w:rFonts w:ascii="宋体" w:eastAsia="宋体" w:hAnsi="宋体" w:cs="宋体" w:hint="eastAsia"/>
                <w:color w:val="000000"/>
                <w:kern w:val="0"/>
                <w:sz w:val="24"/>
                <w:szCs w:val="24"/>
              </w:rPr>
              <w:t>金融与居民理财的关系</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理解金融市场的分类和构成要素</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理解金融资产的概念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1.1.d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理解资产管理的特征与资产管理行业的功能</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1.1.e</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了解我国资产管理行业的现状</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2.投资基金</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掌握投资基金的定义和主要类别</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2.证券投资基金概述</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1.证券投资基金的概念和特点</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了解证券投资基金在各地不同的名称和概念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2102F5" w:rsidP="00795B6D">
            <w:pPr>
              <w:widowControl/>
              <w:jc w:val="left"/>
              <w:rPr>
                <w:rFonts w:ascii="宋体" w:eastAsia="宋体" w:hAnsi="宋体" w:cs="宋体"/>
                <w:color w:val="000000"/>
                <w:kern w:val="0"/>
                <w:sz w:val="24"/>
                <w:szCs w:val="24"/>
              </w:rPr>
            </w:pPr>
            <w:r w:rsidRPr="00795B6D">
              <w:rPr>
                <w:rFonts w:ascii="宋体" w:eastAsia="宋体" w:hAnsi="宋体" w:cs="宋体" w:hint="eastAsia"/>
                <w:color w:val="000000"/>
                <w:kern w:val="0"/>
                <w:sz w:val="24"/>
                <w:szCs w:val="24"/>
              </w:rPr>
              <w:t>掌握</w:t>
            </w:r>
            <w:r w:rsidR="00097763" w:rsidRPr="00097763">
              <w:rPr>
                <w:rFonts w:ascii="宋体" w:eastAsia="宋体" w:hAnsi="宋体" w:cs="宋体" w:hint="eastAsia"/>
                <w:color w:val="000000"/>
                <w:kern w:val="0"/>
                <w:sz w:val="24"/>
                <w:szCs w:val="24"/>
              </w:rPr>
              <w:t>证券投资基金的基本特点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 xml:space="preserve">理解证券投资基金与其他金融工具的比较 </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2.证券投资基金的运作与参与主体</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理解证券投资基金运作具有三大部分</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理解基金行业的主要参与者及其功能和运作关系</w:t>
            </w:r>
          </w:p>
        </w:tc>
      </w:tr>
      <w:tr w:rsidR="00097763" w:rsidRPr="00097763" w:rsidTr="00097763">
        <w:trPr>
          <w:divId w:val="431824671"/>
          <w:trHeight w:val="928"/>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了解基金行业的运作环节包括：募集和市场营销、投资管理、托管、登记、估值和会计核算、信息披露</w:t>
            </w:r>
          </w:p>
        </w:tc>
      </w:tr>
      <w:tr w:rsidR="00097763" w:rsidRPr="00097763" w:rsidTr="00097763">
        <w:trPr>
          <w:divId w:val="431824671"/>
          <w:trHeight w:val="401"/>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3.证券投资基金的法律形式和运作方式</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理解公司型基金和契约型基金的区别</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理解开放式基金和封闭式基金的区别</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4.证券投资基金的起源与发展</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了解证券投资基金的起源</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了解证券投资基金的发展历程</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了解全球基金业发展的趋势与特点</w:t>
            </w:r>
          </w:p>
        </w:tc>
      </w:tr>
      <w:tr w:rsidR="00097763" w:rsidRPr="00097763" w:rsidTr="00097763">
        <w:trPr>
          <w:divId w:val="431824671"/>
          <w:trHeight w:val="48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5.我国证券投资基金业的发展历程</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了解我国证券投资基金发展的六个阶段以及每个阶段的特点和标志产品</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6.证券投资基金业在金融体系中的地位与作用</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2.6.a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理解基金对中小投资者的作用</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2.6.b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ED3540" w:rsidP="00795B6D">
            <w:pPr>
              <w:widowControl/>
              <w:jc w:val="left"/>
              <w:rPr>
                <w:rFonts w:ascii="宋体" w:eastAsia="宋体" w:hAnsi="宋体" w:cs="宋体"/>
                <w:color w:val="000000"/>
                <w:kern w:val="0"/>
                <w:sz w:val="24"/>
                <w:szCs w:val="24"/>
              </w:rPr>
            </w:pPr>
            <w:r w:rsidRPr="00795B6D">
              <w:rPr>
                <w:rFonts w:ascii="宋体" w:eastAsia="宋体" w:hAnsi="宋体" w:cs="宋体" w:hint="eastAsia"/>
                <w:color w:val="000000"/>
                <w:kern w:val="0"/>
                <w:sz w:val="24"/>
                <w:szCs w:val="24"/>
              </w:rPr>
              <w:t>了解</w:t>
            </w:r>
            <w:r w:rsidR="00097763" w:rsidRPr="00097763">
              <w:rPr>
                <w:rFonts w:ascii="宋体" w:eastAsia="宋体" w:hAnsi="宋体" w:cs="宋体" w:hint="eastAsia"/>
                <w:color w:val="000000"/>
                <w:kern w:val="0"/>
                <w:sz w:val="24"/>
                <w:szCs w:val="24"/>
              </w:rPr>
              <w:t>基金对金融结构和经济的作用</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2.6.c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ED3540" w:rsidP="00795B6D">
            <w:pPr>
              <w:widowControl/>
              <w:jc w:val="left"/>
              <w:rPr>
                <w:rFonts w:ascii="宋体" w:eastAsia="宋体" w:hAnsi="宋体" w:cs="宋体"/>
                <w:color w:val="000000"/>
                <w:kern w:val="0"/>
                <w:sz w:val="24"/>
                <w:szCs w:val="24"/>
              </w:rPr>
            </w:pPr>
            <w:r w:rsidRPr="00795B6D">
              <w:rPr>
                <w:rFonts w:ascii="宋体" w:eastAsia="宋体" w:hAnsi="宋体" w:cs="宋体" w:hint="eastAsia"/>
                <w:color w:val="000000"/>
                <w:kern w:val="0"/>
                <w:sz w:val="24"/>
                <w:szCs w:val="24"/>
              </w:rPr>
              <w:t>了解</w:t>
            </w:r>
            <w:r w:rsidR="00097763" w:rsidRPr="00097763">
              <w:rPr>
                <w:rFonts w:ascii="宋体" w:eastAsia="宋体" w:hAnsi="宋体" w:cs="宋体" w:hint="eastAsia"/>
                <w:color w:val="000000"/>
                <w:kern w:val="0"/>
                <w:sz w:val="24"/>
                <w:szCs w:val="24"/>
              </w:rPr>
              <w:t>基金对证券市场的作用</w:t>
            </w:r>
          </w:p>
        </w:tc>
      </w:tr>
      <w:tr w:rsidR="00097763" w:rsidRPr="00097763" w:rsidTr="00097763">
        <w:trPr>
          <w:divId w:val="431824671"/>
          <w:trHeight w:val="39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3.证券投资基金的类型</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1.证券投资基金分类概述</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了解基金分类的意义和困难</w:t>
            </w:r>
          </w:p>
        </w:tc>
      </w:tr>
      <w:tr w:rsidR="00097763" w:rsidRPr="00097763" w:rsidTr="00097763">
        <w:trPr>
          <w:divId w:val="431824671"/>
          <w:trHeight w:val="411"/>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掌握基金的不同分类标准和基本分类</w:t>
            </w:r>
          </w:p>
        </w:tc>
      </w:tr>
      <w:tr w:rsidR="00097763" w:rsidRPr="00097763" w:rsidTr="00097763">
        <w:trPr>
          <w:divId w:val="431824671"/>
          <w:trHeight w:val="96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2-5.基金的基本类别：股票基金、债券基金、货币市场基金和混合基金</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3.2-5.a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掌握基本基金类型及其特点</w:t>
            </w:r>
          </w:p>
        </w:tc>
      </w:tr>
      <w:tr w:rsidR="00097763" w:rsidRPr="00097763" w:rsidTr="00097763">
        <w:trPr>
          <w:divId w:val="431824671"/>
          <w:trHeight w:val="1689"/>
          <w:jc w:val="center"/>
        </w:trPr>
        <w:tc>
          <w:tcPr>
            <w:tcW w:w="1213" w:type="dxa"/>
            <w:vMerge/>
            <w:tcBorders>
              <w:top w:val="nil"/>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6-9.特殊的证券投资基金类别：保本基金，ETF, QDII, 分级基金</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3.6-9a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了解市场上各类特殊类别基金的特点</w:t>
            </w:r>
          </w:p>
        </w:tc>
      </w:tr>
      <w:tr w:rsidR="00097763" w:rsidRPr="00097763" w:rsidTr="00097763">
        <w:trPr>
          <w:divId w:val="431824671"/>
          <w:trHeight w:val="270"/>
          <w:jc w:val="center"/>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lastRenderedPageBreak/>
              <w:t>4.证券投资基金的监管</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1.基金监管概述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4.1.a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掌握基金监管的概念、体系、原则和目标</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2.基金监管机构和自律组织</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4.2.a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掌握中国证监会对基金行业的监管职责及监管措施</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4.2.b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掌握行业自律组织对基金行业的自律管理</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3.对基金机构的监管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4.3.a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掌握对基金管理人的监管内容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4.3.b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掌握对基金托管人的监管内容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4.3.c</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掌握对基金服务机构的监管内容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4.对基金活动的监管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4.4.a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掌握对基金募集和销售活动的监管</w:t>
            </w:r>
          </w:p>
        </w:tc>
      </w:tr>
      <w:tr w:rsidR="00097763" w:rsidRPr="00097763" w:rsidTr="00097763">
        <w:trPr>
          <w:divId w:val="431824671"/>
          <w:trHeight w:val="692"/>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4.4.b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掌握对基金运作的监管（包括投资与交易行为、信息披露、持有人大会等)</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5.对非公开募集基金的监管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4.5.a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掌握非公开募集基金管理人登记事宜</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4.5.b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掌握对非公开募集基金募集以及运作的监管</w:t>
            </w:r>
          </w:p>
        </w:tc>
      </w:tr>
      <w:tr w:rsidR="00097763" w:rsidRPr="00097763" w:rsidTr="00097763">
        <w:trPr>
          <w:divId w:val="431824671"/>
          <w:trHeight w:val="270"/>
          <w:jc w:val="center"/>
        </w:trPr>
        <w:tc>
          <w:tcPr>
            <w:tcW w:w="12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5.基金职业道德</w:t>
            </w:r>
          </w:p>
        </w:tc>
        <w:tc>
          <w:tcPr>
            <w:tcW w:w="1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1.道德与职业道德</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5.1.a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了解道德、职业道德以及基金职业道德的含义和区别</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理解道德与法律的联系和区别</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2.基金职业道德规范</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理解基金从业人员职业道德的含义</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掌握基金职业道德规范的内容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掌握守法合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的含义和基本要求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掌握诚实守信的含义及基本要求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5.2.e</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掌握专业审慎的含义及基本要求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5.2.f</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掌握客户至上的含义及基本要求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5.2.g</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掌握忠诚尽责的含义及基本要求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5.2.h</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掌握保守秘密的含义及基本要求</w:t>
            </w:r>
          </w:p>
        </w:tc>
      </w:tr>
      <w:tr w:rsidR="00097763" w:rsidRPr="00097763" w:rsidTr="00097763">
        <w:trPr>
          <w:divId w:val="431824671"/>
          <w:trHeight w:val="48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3.基金职业道德教育与修养</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理解基金职业道德教育与修养的内容与途径</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16.基金的募集、交易与登记</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1.基金的募集与认购</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掌握基金募集的概念与程序</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掌握基金成立的条件</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了解基金产品注册制度改革</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16.1.d</w:t>
            </w:r>
          </w:p>
        </w:tc>
        <w:tc>
          <w:tcPr>
            <w:tcW w:w="5749" w:type="dxa"/>
            <w:tcBorders>
              <w:top w:val="nil"/>
              <w:left w:val="nil"/>
              <w:bottom w:val="single" w:sz="4" w:space="0" w:color="auto"/>
              <w:right w:val="single" w:sz="4" w:space="0" w:color="auto"/>
            </w:tcBorders>
            <w:shd w:val="clear" w:color="auto" w:fill="auto"/>
            <w:vAlign w:val="bottom"/>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掌握基金认购的概念</w:t>
            </w:r>
          </w:p>
        </w:tc>
      </w:tr>
      <w:tr w:rsidR="00097763" w:rsidRPr="00097763" w:rsidTr="00097763">
        <w:trPr>
          <w:divId w:val="431824671"/>
          <w:trHeight w:val="714"/>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16.1.e</w:t>
            </w:r>
          </w:p>
        </w:tc>
        <w:tc>
          <w:tcPr>
            <w:tcW w:w="5749" w:type="dxa"/>
            <w:tcBorders>
              <w:top w:val="nil"/>
              <w:left w:val="nil"/>
              <w:bottom w:val="single" w:sz="4" w:space="0" w:color="auto"/>
              <w:right w:val="single" w:sz="4" w:space="0" w:color="auto"/>
            </w:tcBorders>
            <w:shd w:val="clear" w:color="auto" w:fill="auto"/>
            <w:vAlign w:val="bottom"/>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了解各类基金（开放式、LOF、ETF、QFII、封闭式）的认购方式和程序</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2.基金的交易、申购和赎回</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掌握开放式基金申购与赎回的概念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掌握开放式基金申购与赎回的费用结构</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16.2.c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了解开放式基金转换和</w:t>
            </w:r>
            <w:proofErr w:type="gramStart"/>
            <w:r w:rsidRPr="00097763">
              <w:rPr>
                <w:rFonts w:ascii="宋体" w:eastAsia="宋体" w:hAnsi="宋体" w:cs="宋体" w:hint="eastAsia"/>
                <w:color w:val="000000"/>
                <w:kern w:val="0"/>
                <w:sz w:val="24"/>
                <w:szCs w:val="24"/>
              </w:rPr>
              <w:t>非交易</w:t>
            </w:r>
            <w:proofErr w:type="gramEnd"/>
            <w:r w:rsidRPr="00097763">
              <w:rPr>
                <w:rFonts w:ascii="宋体" w:eastAsia="宋体" w:hAnsi="宋体" w:cs="宋体" w:hint="eastAsia"/>
                <w:color w:val="000000"/>
                <w:kern w:val="0"/>
                <w:sz w:val="24"/>
                <w:szCs w:val="24"/>
              </w:rPr>
              <w:t>过户、份额和金额计算等</w:t>
            </w:r>
          </w:p>
        </w:tc>
      </w:tr>
      <w:tr w:rsidR="00097763" w:rsidRPr="00097763" w:rsidTr="00097763">
        <w:trPr>
          <w:divId w:val="431824671"/>
          <w:trHeight w:val="558"/>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16.2.d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理解巨额赎回处理等</w:t>
            </w:r>
          </w:p>
        </w:tc>
      </w:tr>
      <w:tr w:rsidR="00097763" w:rsidRPr="00097763" w:rsidTr="00097763">
        <w:trPr>
          <w:divId w:val="431824671"/>
          <w:trHeight w:val="792"/>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16.2.e</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了解不同产品的交易方式与流程（ETF、LOF、封闭式、QDII，及市场创新产品的特殊方式）</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3.基金的登记</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掌握基金份额登记的概念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16.3.b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了解现行登记模式</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16.3.c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掌握登记机构职责</w:t>
            </w:r>
          </w:p>
        </w:tc>
      </w:tr>
      <w:tr w:rsidR="00097763" w:rsidRPr="00097763" w:rsidTr="00097763">
        <w:trPr>
          <w:divId w:val="431824671"/>
          <w:trHeight w:val="270"/>
          <w:jc w:val="center"/>
        </w:trPr>
        <w:tc>
          <w:tcPr>
            <w:tcW w:w="1213" w:type="dxa"/>
            <w:vMerge/>
            <w:tcBorders>
              <w:top w:val="nil"/>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16.3.d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理解登记业务流程</w:t>
            </w:r>
          </w:p>
        </w:tc>
      </w:tr>
      <w:tr w:rsidR="00097763" w:rsidRPr="00097763" w:rsidTr="00097763">
        <w:trPr>
          <w:divId w:val="431824671"/>
          <w:trHeight w:val="270"/>
          <w:jc w:val="center"/>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lastRenderedPageBreak/>
              <w:t>20.基金的信息披露</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1.基金信息披露概述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20.1.a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掌握基金信息披露的作用与原则</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20.1.b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了解我国基金信息披露体系及XBRL的应用</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2.基金主要当事人的信息披露义务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20.2.a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理解基金管理人信息披露的主要内容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20.2.b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理解基金托管人信息披露的主要内容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3.基金募集信息披露</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20.3.a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理解基金合同、托管协议等法律文件应包含的重要内容</w:t>
            </w:r>
          </w:p>
        </w:tc>
      </w:tr>
      <w:tr w:rsidR="00097763" w:rsidRPr="00097763" w:rsidTr="00097763">
        <w:trPr>
          <w:divId w:val="431824671"/>
          <w:trHeight w:val="270"/>
          <w:jc w:val="center"/>
        </w:trPr>
        <w:tc>
          <w:tcPr>
            <w:tcW w:w="1213" w:type="dxa"/>
            <w:vMerge/>
            <w:tcBorders>
              <w:top w:val="single" w:sz="4" w:space="0" w:color="auto"/>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20.3.b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理解招募说明书的重要内容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4.基金运作信息披露</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20.4.a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掌握基金净值公告的种类及披露时效性要求；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20.4.b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理解货币市场基金信息披露的特殊规定</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20.4.c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理解基金定期公告的相关规定</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20.4.d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理解基金上市交易公告书和临时信息披露的相关规定</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5.特殊基金品种的信息披露</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20.5.a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了解QDII信息披露的特殊规定及要求</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20.5.b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了解ETF信息披露的特殊规定及要求</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21.基金客户和销售机构</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1.基金客户的分类</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理解基金投资人类型</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了解基金客户构成现状</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理解目标客户选择</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2.基金销售机构</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掌握基金销售机构的主要类型</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了解各类机构的现状和发展趋势</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21.2.c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掌握基金销售机构准入条件</w:t>
            </w:r>
          </w:p>
        </w:tc>
      </w:tr>
      <w:tr w:rsidR="00097763" w:rsidRPr="00097763" w:rsidTr="006F46A4">
        <w:trPr>
          <w:divId w:val="431824671"/>
          <w:trHeight w:val="453"/>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21.2.d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掌握基金销售机构职责规范</w:t>
            </w:r>
          </w:p>
        </w:tc>
      </w:tr>
      <w:tr w:rsidR="00097763" w:rsidRPr="00097763" w:rsidTr="006F46A4">
        <w:trPr>
          <w:divId w:val="431824671"/>
          <w:trHeight w:val="542"/>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3.基金销售机构的销售理论、方式与策略</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了解基金管理人及代销机构销售方式</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21.3.b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掌握基金市场营销的特殊性</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22.基金销售行为规范及信息管理</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1.基金销售机构人员行为规范</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理解基金销售人员的资格管理、人员管理和培训</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理解基金销售人员行为规范</w:t>
            </w:r>
          </w:p>
        </w:tc>
      </w:tr>
      <w:tr w:rsidR="00097763" w:rsidRPr="00097763" w:rsidTr="006F46A4">
        <w:trPr>
          <w:divId w:val="431824671"/>
          <w:trHeight w:val="475"/>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2.基金宣传推介材料规范</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理解宣传推介材料的范围和报备流程</w:t>
            </w:r>
          </w:p>
        </w:tc>
      </w:tr>
      <w:tr w:rsidR="00097763" w:rsidRPr="00097763" w:rsidTr="006F46A4">
        <w:trPr>
          <w:divId w:val="431824671"/>
          <w:trHeight w:val="437"/>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掌握宣传推介材料的原则性要求和禁止性规定</w:t>
            </w:r>
          </w:p>
        </w:tc>
      </w:tr>
      <w:tr w:rsidR="00097763" w:rsidRPr="00097763" w:rsidTr="006F46A4">
        <w:trPr>
          <w:divId w:val="431824671"/>
          <w:trHeight w:val="413"/>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22.2.c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理解宣传推介材料业绩登载规范和其他规范</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3.基金销售费用规范</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掌握销售费用内容(原则性规范、费用结构和费率水平)</w:t>
            </w:r>
          </w:p>
        </w:tc>
      </w:tr>
      <w:tr w:rsidR="00097763" w:rsidRPr="00097763" w:rsidTr="006F46A4">
        <w:trPr>
          <w:divId w:val="431824671"/>
          <w:trHeight w:val="469"/>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22.3.b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掌握销售费用原则性规范和其他规范</w:t>
            </w:r>
          </w:p>
        </w:tc>
      </w:tr>
      <w:tr w:rsidR="00097763" w:rsidRPr="00097763" w:rsidTr="006F46A4">
        <w:trPr>
          <w:divId w:val="431824671"/>
          <w:trHeight w:val="444"/>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4.基金销售适用性</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22.4.a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掌握基金销售适用性的指导原则</w:t>
            </w:r>
          </w:p>
        </w:tc>
      </w:tr>
      <w:tr w:rsidR="00097763" w:rsidRPr="00097763" w:rsidTr="006F46A4">
        <w:trPr>
          <w:divId w:val="431824671"/>
          <w:trHeight w:val="407"/>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22.4.b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理解基金销售适用性渠道审慎调查的要求</w:t>
            </w:r>
          </w:p>
        </w:tc>
      </w:tr>
      <w:tr w:rsidR="00097763" w:rsidRPr="00097763" w:rsidTr="006F46A4">
        <w:trPr>
          <w:divId w:val="431824671"/>
          <w:trHeight w:val="383"/>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22.4.c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掌握基金销售适用性产品风险评价的要求</w:t>
            </w:r>
          </w:p>
        </w:tc>
      </w:tr>
      <w:tr w:rsidR="00097763" w:rsidRPr="00097763" w:rsidTr="006F46A4">
        <w:trPr>
          <w:divId w:val="431824671"/>
          <w:trHeight w:val="270"/>
          <w:jc w:val="center"/>
        </w:trPr>
        <w:tc>
          <w:tcPr>
            <w:tcW w:w="1213" w:type="dxa"/>
            <w:vMerge/>
            <w:tcBorders>
              <w:top w:val="nil"/>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5.基金销售信息管理</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22.5.a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了解基金销售业务信息、客户信息和渠道信息管理</w:t>
            </w:r>
          </w:p>
        </w:tc>
      </w:tr>
      <w:tr w:rsidR="00097763" w:rsidRPr="00097763" w:rsidTr="006F46A4">
        <w:trPr>
          <w:divId w:val="431824671"/>
          <w:trHeight w:val="270"/>
          <w:jc w:val="center"/>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lastRenderedPageBreak/>
              <w:t>23.基金客户服务</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1.客户服务概述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23.1.a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掌握基金客户服务的特点</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23.1.b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掌握基金客户服务的原则</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23.1.c</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了解基金客户服务的内容</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2.客户服务流程</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23.2.a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了解客户服务流程</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3.投资者教育工作</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23.3.a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了解投资者教育工作的概念和意义</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23.3.b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掌握投资者教育工作的基本原则</w:t>
            </w:r>
          </w:p>
        </w:tc>
      </w:tr>
      <w:tr w:rsidR="00097763" w:rsidRPr="00097763" w:rsidTr="006F46A4">
        <w:trPr>
          <w:divId w:val="431824671"/>
          <w:trHeight w:val="270"/>
          <w:jc w:val="center"/>
        </w:trPr>
        <w:tc>
          <w:tcPr>
            <w:tcW w:w="1213" w:type="dxa"/>
            <w:vMerge/>
            <w:tcBorders>
              <w:top w:val="single" w:sz="4" w:space="0" w:color="auto"/>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23.3.c</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理解投资者教育工作的内容</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24.基金管理人的内部控制</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1.内部控制的目标和原则</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24.1.a</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理解基金公司内部控制的重要性</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single" w:sz="4" w:space="0" w:color="auto"/>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24.1.b</w:t>
            </w:r>
          </w:p>
        </w:tc>
        <w:tc>
          <w:tcPr>
            <w:tcW w:w="5749"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理解基金公司内部控制的基本概念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掌握基金公司内部控制的目标</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24.1.d</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掌握基金公司内部控制的原则</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2.内部控制机制</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掌握基金公司内控机制的四个层次</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掌握基金公司内部控制的基本要素</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3.内部控制制度</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理解内部控制制度的组成内容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4.内部控制的主要内容</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24.4.a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理解基金公司前、中、后台控制的主要内容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24.4.b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理解基金公司信息披露控制的主要内容</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24.4.c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理解基金公司信息技术控制的主要内容</w:t>
            </w:r>
          </w:p>
        </w:tc>
      </w:tr>
      <w:tr w:rsidR="00097763" w:rsidRPr="00097763" w:rsidTr="00097763">
        <w:trPr>
          <w:divId w:val="431824671"/>
          <w:trHeight w:val="270"/>
          <w:jc w:val="center"/>
        </w:trPr>
        <w:tc>
          <w:tcPr>
            <w:tcW w:w="121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25.基金管理人的合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 xml:space="preserve">管理 </w:t>
            </w: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1.合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管理概述</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25.1.a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管理的基本概念</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25.1.b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管理的目标</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25.1.c</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管理的基本原则</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val="restart"/>
            <w:tcBorders>
              <w:top w:val="nil"/>
              <w:left w:val="single" w:sz="4" w:space="0" w:color="auto"/>
              <w:bottom w:val="single" w:sz="4" w:space="0" w:color="000000"/>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管理机构设置</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25.2.a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管理涉及的相关部门设置</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6F46A4">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25.2.b</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管理相关部门的合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责任</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nil"/>
              <w:left w:val="nil"/>
              <w:bottom w:val="nil"/>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3.合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管理的主要内容</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25.3.a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管理的主要活动</w:t>
            </w:r>
          </w:p>
        </w:tc>
      </w:tr>
      <w:tr w:rsidR="00097763" w:rsidRPr="00097763" w:rsidTr="00097763">
        <w:trPr>
          <w:divId w:val="431824671"/>
          <w:trHeight w:val="270"/>
          <w:jc w:val="center"/>
        </w:trPr>
        <w:tc>
          <w:tcPr>
            <w:tcW w:w="1213" w:type="dxa"/>
            <w:vMerge/>
            <w:tcBorders>
              <w:top w:val="nil"/>
              <w:left w:val="single" w:sz="4" w:space="0" w:color="auto"/>
              <w:bottom w:val="single" w:sz="4" w:space="0" w:color="000000"/>
              <w:right w:val="single" w:sz="4" w:space="0" w:color="auto"/>
            </w:tcBorders>
            <w:vAlign w:val="center"/>
            <w:hideMark/>
          </w:tcPr>
          <w:p w:rsidR="00097763" w:rsidRPr="00097763" w:rsidRDefault="00097763" w:rsidP="00097763">
            <w:pPr>
              <w:widowControl/>
              <w:jc w:val="left"/>
              <w:rPr>
                <w:rFonts w:ascii="宋体" w:eastAsia="宋体" w:hAnsi="宋体" w:cs="宋体"/>
                <w:color w:val="000000"/>
                <w:kern w:val="0"/>
                <w:sz w:val="24"/>
                <w:szCs w:val="24"/>
              </w:rPr>
            </w:pP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097763" w:rsidRPr="00097763" w:rsidRDefault="00097763" w:rsidP="006F46A4">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4.合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风险</w:t>
            </w:r>
          </w:p>
        </w:tc>
        <w:tc>
          <w:tcPr>
            <w:tcW w:w="997"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center"/>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25.4.a</w:t>
            </w:r>
          </w:p>
        </w:tc>
        <w:tc>
          <w:tcPr>
            <w:tcW w:w="5749" w:type="dxa"/>
            <w:tcBorders>
              <w:top w:val="nil"/>
              <w:left w:val="nil"/>
              <w:bottom w:val="single" w:sz="4" w:space="0" w:color="auto"/>
              <w:right w:val="single" w:sz="4" w:space="0" w:color="auto"/>
            </w:tcBorders>
            <w:shd w:val="clear" w:color="auto" w:fill="auto"/>
            <w:vAlign w:val="center"/>
            <w:hideMark/>
          </w:tcPr>
          <w:p w:rsidR="00097763" w:rsidRPr="00097763" w:rsidRDefault="00097763" w:rsidP="00097763">
            <w:pPr>
              <w:widowControl/>
              <w:jc w:val="left"/>
              <w:rPr>
                <w:rFonts w:ascii="宋体" w:eastAsia="宋体" w:hAnsi="宋体" w:cs="宋体"/>
                <w:color w:val="000000"/>
                <w:kern w:val="0"/>
                <w:sz w:val="24"/>
                <w:szCs w:val="24"/>
              </w:rPr>
            </w:pPr>
            <w:r w:rsidRPr="00097763">
              <w:rPr>
                <w:rFonts w:ascii="宋体" w:eastAsia="宋体" w:hAnsi="宋体" w:cs="宋体" w:hint="eastAsia"/>
                <w:color w:val="000000"/>
                <w:kern w:val="0"/>
                <w:sz w:val="24"/>
                <w:szCs w:val="24"/>
              </w:rPr>
              <w:t>理解合</w:t>
            </w:r>
            <w:proofErr w:type="gramStart"/>
            <w:r w:rsidRPr="00097763">
              <w:rPr>
                <w:rFonts w:ascii="宋体" w:eastAsia="宋体" w:hAnsi="宋体" w:cs="宋体" w:hint="eastAsia"/>
                <w:color w:val="000000"/>
                <w:kern w:val="0"/>
                <w:sz w:val="24"/>
                <w:szCs w:val="24"/>
              </w:rPr>
              <w:t>规</w:t>
            </w:r>
            <w:proofErr w:type="gramEnd"/>
            <w:r w:rsidRPr="00097763">
              <w:rPr>
                <w:rFonts w:ascii="宋体" w:eastAsia="宋体" w:hAnsi="宋体" w:cs="宋体" w:hint="eastAsia"/>
                <w:color w:val="000000"/>
                <w:kern w:val="0"/>
                <w:sz w:val="24"/>
                <w:szCs w:val="24"/>
              </w:rPr>
              <w:t>风险的含义、种类和主要管理措施</w:t>
            </w:r>
          </w:p>
        </w:tc>
      </w:tr>
    </w:tbl>
    <w:p w:rsidR="00EB232D" w:rsidRPr="00EB232D" w:rsidRDefault="009B57B0" w:rsidP="00921FFE">
      <w:pPr>
        <w:spacing w:line="360" w:lineRule="auto"/>
        <w:jc w:val="left"/>
        <w:rPr>
          <w:rFonts w:ascii="楷体" w:eastAsia="楷体" w:hAnsi="楷体"/>
          <w:sz w:val="30"/>
          <w:szCs w:val="30"/>
        </w:rPr>
      </w:pPr>
      <w:r>
        <w:rPr>
          <w:rFonts w:ascii="楷体" w:eastAsia="楷体" w:hAnsi="楷体"/>
          <w:sz w:val="30"/>
          <w:szCs w:val="30"/>
        </w:rPr>
        <w:fldChar w:fldCharType="end"/>
      </w:r>
    </w:p>
    <w:sectPr w:rsidR="00EB232D" w:rsidRPr="00EB232D" w:rsidSect="002920E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70" w:rsidRDefault="003A5470" w:rsidP="00C51D14">
      <w:r>
        <w:separator/>
      </w:r>
    </w:p>
  </w:endnote>
  <w:endnote w:type="continuationSeparator" w:id="0">
    <w:p w:rsidR="003A5470" w:rsidRDefault="003A5470" w:rsidP="00C5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07800"/>
      <w:docPartObj>
        <w:docPartGallery w:val="Page Numbers (Bottom of Page)"/>
        <w:docPartUnique/>
      </w:docPartObj>
    </w:sdtPr>
    <w:sdtEndPr/>
    <w:sdtContent>
      <w:p w:rsidR="00A41AEE" w:rsidRDefault="009B57B0">
        <w:pPr>
          <w:pStyle w:val="a6"/>
          <w:jc w:val="center"/>
        </w:pPr>
        <w:r>
          <w:fldChar w:fldCharType="begin"/>
        </w:r>
        <w:r w:rsidR="00A41AEE">
          <w:instrText>PAGE   \* MERGEFORMAT</w:instrText>
        </w:r>
        <w:r>
          <w:fldChar w:fldCharType="separate"/>
        </w:r>
        <w:r w:rsidR="009152FB" w:rsidRPr="009152FB">
          <w:rPr>
            <w:noProof/>
            <w:lang w:val="zh-CN"/>
          </w:rPr>
          <w:t>1</w:t>
        </w:r>
        <w:r>
          <w:fldChar w:fldCharType="end"/>
        </w:r>
      </w:p>
    </w:sdtContent>
  </w:sdt>
  <w:p w:rsidR="00A41AEE" w:rsidRDefault="00A41A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70" w:rsidRDefault="003A5470" w:rsidP="00C51D14">
      <w:r>
        <w:separator/>
      </w:r>
    </w:p>
  </w:footnote>
  <w:footnote w:type="continuationSeparator" w:id="0">
    <w:p w:rsidR="003A5470" w:rsidRDefault="003A5470" w:rsidP="00C51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82268"/>
    <w:multiLevelType w:val="hybridMultilevel"/>
    <w:tmpl w:val="7FEAB0AC"/>
    <w:lvl w:ilvl="0" w:tplc="2C76F60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E4F6C44"/>
    <w:multiLevelType w:val="hybridMultilevel"/>
    <w:tmpl w:val="7026D5B8"/>
    <w:lvl w:ilvl="0" w:tplc="285012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B13"/>
    <w:rsid w:val="00032E85"/>
    <w:rsid w:val="00097763"/>
    <w:rsid w:val="000E3B10"/>
    <w:rsid w:val="0015612E"/>
    <w:rsid w:val="00174B13"/>
    <w:rsid w:val="001A1BB9"/>
    <w:rsid w:val="001F1287"/>
    <w:rsid w:val="00204313"/>
    <w:rsid w:val="002102F5"/>
    <w:rsid w:val="002920E6"/>
    <w:rsid w:val="002E464F"/>
    <w:rsid w:val="002F0258"/>
    <w:rsid w:val="00325A20"/>
    <w:rsid w:val="0033621F"/>
    <w:rsid w:val="00374137"/>
    <w:rsid w:val="003A5470"/>
    <w:rsid w:val="003C5CFE"/>
    <w:rsid w:val="003D411D"/>
    <w:rsid w:val="003F1F1F"/>
    <w:rsid w:val="004414A1"/>
    <w:rsid w:val="00451660"/>
    <w:rsid w:val="00551F92"/>
    <w:rsid w:val="005A4975"/>
    <w:rsid w:val="005A758C"/>
    <w:rsid w:val="005A7B16"/>
    <w:rsid w:val="006167B6"/>
    <w:rsid w:val="00621458"/>
    <w:rsid w:val="00644B40"/>
    <w:rsid w:val="00661D8B"/>
    <w:rsid w:val="006936CA"/>
    <w:rsid w:val="006B29D8"/>
    <w:rsid w:val="006C520E"/>
    <w:rsid w:val="006F46A4"/>
    <w:rsid w:val="00704B84"/>
    <w:rsid w:val="00775934"/>
    <w:rsid w:val="00795B6D"/>
    <w:rsid w:val="007A099C"/>
    <w:rsid w:val="007A671A"/>
    <w:rsid w:val="007B508E"/>
    <w:rsid w:val="007C426F"/>
    <w:rsid w:val="007E0721"/>
    <w:rsid w:val="007F5BCC"/>
    <w:rsid w:val="008056AC"/>
    <w:rsid w:val="008129AA"/>
    <w:rsid w:val="00822D64"/>
    <w:rsid w:val="00836454"/>
    <w:rsid w:val="008671A4"/>
    <w:rsid w:val="009152FB"/>
    <w:rsid w:val="00921FFE"/>
    <w:rsid w:val="00971E55"/>
    <w:rsid w:val="009A38BA"/>
    <w:rsid w:val="009B57B0"/>
    <w:rsid w:val="009C7FEB"/>
    <w:rsid w:val="00A231ED"/>
    <w:rsid w:val="00A33ABA"/>
    <w:rsid w:val="00A41AEE"/>
    <w:rsid w:val="00A87E7E"/>
    <w:rsid w:val="00A9052B"/>
    <w:rsid w:val="00AD4D8E"/>
    <w:rsid w:val="00B0668F"/>
    <w:rsid w:val="00B66332"/>
    <w:rsid w:val="00B77AAE"/>
    <w:rsid w:val="00BB1E7E"/>
    <w:rsid w:val="00C33884"/>
    <w:rsid w:val="00C50BD0"/>
    <w:rsid w:val="00C51D14"/>
    <w:rsid w:val="00C82535"/>
    <w:rsid w:val="00C91B72"/>
    <w:rsid w:val="00CA6328"/>
    <w:rsid w:val="00D200A3"/>
    <w:rsid w:val="00D278EC"/>
    <w:rsid w:val="00D33BD1"/>
    <w:rsid w:val="00D35E94"/>
    <w:rsid w:val="00D5121E"/>
    <w:rsid w:val="00D53686"/>
    <w:rsid w:val="00D74CAD"/>
    <w:rsid w:val="00D8596C"/>
    <w:rsid w:val="00D8680D"/>
    <w:rsid w:val="00D95A96"/>
    <w:rsid w:val="00DD5964"/>
    <w:rsid w:val="00E172F0"/>
    <w:rsid w:val="00E32D74"/>
    <w:rsid w:val="00E4556B"/>
    <w:rsid w:val="00E67982"/>
    <w:rsid w:val="00E90787"/>
    <w:rsid w:val="00EA4C4E"/>
    <w:rsid w:val="00EB232D"/>
    <w:rsid w:val="00ED3540"/>
    <w:rsid w:val="00ED5BD4"/>
    <w:rsid w:val="00EF522D"/>
    <w:rsid w:val="00EF7AB6"/>
    <w:rsid w:val="00F11EC4"/>
    <w:rsid w:val="00F26AAC"/>
    <w:rsid w:val="00F54595"/>
    <w:rsid w:val="00F6713B"/>
    <w:rsid w:val="00F73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21E"/>
    <w:pPr>
      <w:ind w:firstLineChars="200" w:firstLine="420"/>
    </w:pPr>
  </w:style>
  <w:style w:type="table" w:styleId="a4">
    <w:name w:val="Table Grid"/>
    <w:basedOn w:val="a1"/>
    <w:uiPriority w:val="59"/>
    <w:rsid w:val="007B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26F"/>
    <w:pPr>
      <w:widowControl w:val="0"/>
      <w:autoSpaceDE w:val="0"/>
      <w:autoSpaceDN w:val="0"/>
      <w:adjustRightInd w:val="0"/>
    </w:pPr>
    <w:rPr>
      <w:rFonts w:ascii="宋体" w:hAnsi="宋体" w:cs="宋体"/>
      <w:color w:val="000000"/>
      <w:kern w:val="0"/>
      <w:sz w:val="24"/>
      <w:szCs w:val="24"/>
    </w:rPr>
  </w:style>
  <w:style w:type="paragraph" w:styleId="a5">
    <w:name w:val="header"/>
    <w:basedOn w:val="a"/>
    <w:link w:val="Char"/>
    <w:uiPriority w:val="99"/>
    <w:unhideWhenUsed/>
    <w:rsid w:val="00C51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1D14"/>
    <w:rPr>
      <w:sz w:val="18"/>
      <w:szCs w:val="18"/>
    </w:rPr>
  </w:style>
  <w:style w:type="paragraph" w:styleId="a6">
    <w:name w:val="footer"/>
    <w:basedOn w:val="a"/>
    <w:link w:val="Char0"/>
    <w:uiPriority w:val="99"/>
    <w:unhideWhenUsed/>
    <w:rsid w:val="00C51D14"/>
    <w:pPr>
      <w:tabs>
        <w:tab w:val="center" w:pos="4153"/>
        <w:tab w:val="right" w:pos="8306"/>
      </w:tabs>
      <w:snapToGrid w:val="0"/>
      <w:jc w:val="left"/>
    </w:pPr>
    <w:rPr>
      <w:sz w:val="18"/>
      <w:szCs w:val="18"/>
    </w:rPr>
  </w:style>
  <w:style w:type="character" w:customStyle="1" w:styleId="Char0">
    <w:name w:val="页脚 Char"/>
    <w:basedOn w:val="a0"/>
    <w:link w:val="a6"/>
    <w:uiPriority w:val="99"/>
    <w:rsid w:val="00C51D14"/>
    <w:rPr>
      <w:sz w:val="18"/>
      <w:szCs w:val="18"/>
    </w:rPr>
  </w:style>
  <w:style w:type="paragraph" w:styleId="a7">
    <w:name w:val="Balloon Text"/>
    <w:basedOn w:val="a"/>
    <w:link w:val="Char1"/>
    <w:uiPriority w:val="99"/>
    <w:semiHidden/>
    <w:unhideWhenUsed/>
    <w:rsid w:val="007F5BCC"/>
    <w:rPr>
      <w:sz w:val="18"/>
      <w:szCs w:val="18"/>
    </w:rPr>
  </w:style>
  <w:style w:type="character" w:customStyle="1" w:styleId="Char1">
    <w:name w:val="批注框文本 Char"/>
    <w:basedOn w:val="a0"/>
    <w:link w:val="a7"/>
    <w:uiPriority w:val="99"/>
    <w:semiHidden/>
    <w:rsid w:val="007F5B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21E"/>
    <w:pPr>
      <w:ind w:firstLineChars="200" w:firstLine="420"/>
    </w:pPr>
  </w:style>
  <w:style w:type="table" w:styleId="a4">
    <w:name w:val="Table Grid"/>
    <w:basedOn w:val="a1"/>
    <w:uiPriority w:val="59"/>
    <w:rsid w:val="007B5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426F"/>
    <w:pPr>
      <w:widowControl w:val="0"/>
      <w:autoSpaceDE w:val="0"/>
      <w:autoSpaceDN w:val="0"/>
      <w:adjustRightInd w:val="0"/>
    </w:pPr>
    <w:rPr>
      <w:rFonts w:ascii="宋体" w:hAnsi="宋体" w:cs="宋体"/>
      <w:color w:val="000000"/>
      <w:kern w:val="0"/>
      <w:sz w:val="24"/>
      <w:szCs w:val="24"/>
    </w:rPr>
  </w:style>
  <w:style w:type="paragraph" w:styleId="a5">
    <w:name w:val="header"/>
    <w:basedOn w:val="a"/>
    <w:link w:val="Char"/>
    <w:uiPriority w:val="99"/>
    <w:unhideWhenUsed/>
    <w:rsid w:val="00C51D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1D14"/>
    <w:rPr>
      <w:sz w:val="18"/>
      <w:szCs w:val="18"/>
    </w:rPr>
  </w:style>
  <w:style w:type="paragraph" w:styleId="a6">
    <w:name w:val="footer"/>
    <w:basedOn w:val="a"/>
    <w:link w:val="Char0"/>
    <w:uiPriority w:val="99"/>
    <w:unhideWhenUsed/>
    <w:rsid w:val="00C51D14"/>
    <w:pPr>
      <w:tabs>
        <w:tab w:val="center" w:pos="4153"/>
        <w:tab w:val="right" w:pos="8306"/>
      </w:tabs>
      <w:snapToGrid w:val="0"/>
      <w:jc w:val="left"/>
    </w:pPr>
    <w:rPr>
      <w:sz w:val="18"/>
      <w:szCs w:val="18"/>
    </w:rPr>
  </w:style>
  <w:style w:type="character" w:customStyle="1" w:styleId="Char0">
    <w:name w:val="页脚 Char"/>
    <w:basedOn w:val="a0"/>
    <w:link w:val="a6"/>
    <w:uiPriority w:val="99"/>
    <w:rsid w:val="00C51D14"/>
    <w:rPr>
      <w:sz w:val="18"/>
      <w:szCs w:val="18"/>
    </w:rPr>
  </w:style>
  <w:style w:type="paragraph" w:styleId="a7">
    <w:name w:val="Balloon Text"/>
    <w:basedOn w:val="a"/>
    <w:link w:val="Char1"/>
    <w:uiPriority w:val="99"/>
    <w:semiHidden/>
    <w:unhideWhenUsed/>
    <w:rsid w:val="007F5BCC"/>
    <w:rPr>
      <w:sz w:val="18"/>
      <w:szCs w:val="18"/>
    </w:rPr>
  </w:style>
  <w:style w:type="character" w:customStyle="1" w:styleId="Char1">
    <w:name w:val="批注框文本 Char"/>
    <w:basedOn w:val="a0"/>
    <w:link w:val="a7"/>
    <w:uiPriority w:val="99"/>
    <w:semiHidden/>
    <w:rsid w:val="007F5B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7462">
      <w:bodyDiv w:val="1"/>
      <w:marLeft w:val="0"/>
      <w:marRight w:val="0"/>
      <w:marTop w:val="0"/>
      <w:marBottom w:val="0"/>
      <w:divBdr>
        <w:top w:val="none" w:sz="0" w:space="0" w:color="auto"/>
        <w:left w:val="none" w:sz="0" w:space="0" w:color="auto"/>
        <w:bottom w:val="none" w:sz="0" w:space="0" w:color="auto"/>
        <w:right w:val="none" w:sz="0" w:space="0" w:color="auto"/>
      </w:divBdr>
    </w:div>
    <w:div w:id="294602320">
      <w:bodyDiv w:val="1"/>
      <w:marLeft w:val="0"/>
      <w:marRight w:val="0"/>
      <w:marTop w:val="0"/>
      <w:marBottom w:val="0"/>
      <w:divBdr>
        <w:top w:val="none" w:sz="0" w:space="0" w:color="auto"/>
        <w:left w:val="none" w:sz="0" w:space="0" w:color="auto"/>
        <w:bottom w:val="none" w:sz="0" w:space="0" w:color="auto"/>
        <w:right w:val="none" w:sz="0" w:space="0" w:color="auto"/>
      </w:divBdr>
    </w:div>
    <w:div w:id="431824671">
      <w:bodyDiv w:val="1"/>
      <w:marLeft w:val="0"/>
      <w:marRight w:val="0"/>
      <w:marTop w:val="0"/>
      <w:marBottom w:val="0"/>
      <w:divBdr>
        <w:top w:val="none" w:sz="0" w:space="0" w:color="auto"/>
        <w:left w:val="none" w:sz="0" w:space="0" w:color="auto"/>
        <w:bottom w:val="none" w:sz="0" w:space="0" w:color="auto"/>
        <w:right w:val="none" w:sz="0" w:space="0" w:color="auto"/>
      </w:divBdr>
    </w:div>
    <w:div w:id="637154265">
      <w:bodyDiv w:val="1"/>
      <w:marLeft w:val="0"/>
      <w:marRight w:val="0"/>
      <w:marTop w:val="0"/>
      <w:marBottom w:val="0"/>
      <w:divBdr>
        <w:top w:val="none" w:sz="0" w:space="0" w:color="auto"/>
        <w:left w:val="none" w:sz="0" w:space="0" w:color="auto"/>
        <w:bottom w:val="none" w:sz="0" w:space="0" w:color="auto"/>
        <w:right w:val="none" w:sz="0" w:space="0" w:color="auto"/>
      </w:divBdr>
    </w:div>
    <w:div w:id="733621289">
      <w:bodyDiv w:val="1"/>
      <w:marLeft w:val="0"/>
      <w:marRight w:val="0"/>
      <w:marTop w:val="0"/>
      <w:marBottom w:val="0"/>
      <w:divBdr>
        <w:top w:val="none" w:sz="0" w:space="0" w:color="auto"/>
        <w:left w:val="none" w:sz="0" w:space="0" w:color="auto"/>
        <w:bottom w:val="none" w:sz="0" w:space="0" w:color="auto"/>
        <w:right w:val="none" w:sz="0" w:space="0" w:color="auto"/>
      </w:divBdr>
    </w:div>
    <w:div w:id="1038697787">
      <w:bodyDiv w:val="1"/>
      <w:marLeft w:val="0"/>
      <w:marRight w:val="0"/>
      <w:marTop w:val="0"/>
      <w:marBottom w:val="0"/>
      <w:divBdr>
        <w:top w:val="none" w:sz="0" w:space="0" w:color="auto"/>
        <w:left w:val="none" w:sz="0" w:space="0" w:color="auto"/>
        <w:bottom w:val="none" w:sz="0" w:space="0" w:color="auto"/>
        <w:right w:val="none" w:sz="0" w:space="0" w:color="auto"/>
      </w:divBdr>
    </w:div>
    <w:div w:id="1216427091">
      <w:bodyDiv w:val="1"/>
      <w:marLeft w:val="0"/>
      <w:marRight w:val="0"/>
      <w:marTop w:val="0"/>
      <w:marBottom w:val="0"/>
      <w:divBdr>
        <w:top w:val="none" w:sz="0" w:space="0" w:color="auto"/>
        <w:left w:val="none" w:sz="0" w:space="0" w:color="auto"/>
        <w:bottom w:val="none" w:sz="0" w:space="0" w:color="auto"/>
        <w:right w:val="none" w:sz="0" w:space="0" w:color="auto"/>
      </w:divBdr>
    </w:div>
    <w:div w:id="1453786574">
      <w:bodyDiv w:val="1"/>
      <w:marLeft w:val="0"/>
      <w:marRight w:val="0"/>
      <w:marTop w:val="0"/>
      <w:marBottom w:val="0"/>
      <w:divBdr>
        <w:top w:val="none" w:sz="0" w:space="0" w:color="auto"/>
        <w:left w:val="none" w:sz="0" w:space="0" w:color="auto"/>
        <w:bottom w:val="none" w:sz="0" w:space="0" w:color="auto"/>
        <w:right w:val="none" w:sz="0" w:space="0" w:color="auto"/>
      </w:divBdr>
    </w:div>
    <w:div w:id="1695421961">
      <w:bodyDiv w:val="1"/>
      <w:marLeft w:val="0"/>
      <w:marRight w:val="0"/>
      <w:marTop w:val="0"/>
      <w:marBottom w:val="0"/>
      <w:divBdr>
        <w:top w:val="none" w:sz="0" w:space="0" w:color="auto"/>
        <w:left w:val="none" w:sz="0" w:space="0" w:color="auto"/>
        <w:bottom w:val="none" w:sz="0" w:space="0" w:color="auto"/>
        <w:right w:val="none" w:sz="0" w:space="0" w:color="auto"/>
      </w:divBdr>
    </w:div>
    <w:div w:id="1896966774">
      <w:bodyDiv w:val="1"/>
      <w:marLeft w:val="0"/>
      <w:marRight w:val="0"/>
      <w:marTop w:val="0"/>
      <w:marBottom w:val="0"/>
      <w:divBdr>
        <w:top w:val="none" w:sz="0" w:space="0" w:color="auto"/>
        <w:left w:val="none" w:sz="0" w:space="0" w:color="auto"/>
        <w:bottom w:val="none" w:sz="0" w:space="0" w:color="auto"/>
        <w:right w:val="none" w:sz="0" w:space="0" w:color="auto"/>
      </w:divBdr>
    </w:div>
    <w:div w:id="1927885110">
      <w:bodyDiv w:val="1"/>
      <w:marLeft w:val="0"/>
      <w:marRight w:val="0"/>
      <w:marTop w:val="0"/>
      <w:marBottom w:val="0"/>
      <w:divBdr>
        <w:top w:val="none" w:sz="0" w:space="0" w:color="auto"/>
        <w:left w:val="none" w:sz="0" w:space="0" w:color="auto"/>
        <w:bottom w:val="none" w:sz="0" w:space="0" w:color="auto"/>
        <w:right w:val="none" w:sz="0" w:space="0" w:color="auto"/>
      </w:divBdr>
    </w:div>
    <w:div w:id="20338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3FFC-C5B8-43A6-A0BC-BFE4922D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马雯</dc:creator>
  <cp:lastModifiedBy>任慧凝:返回拟稿人</cp:lastModifiedBy>
  <cp:revision>55</cp:revision>
  <cp:lastPrinted>2015-07-17T02:08:00Z</cp:lastPrinted>
  <dcterms:created xsi:type="dcterms:W3CDTF">2015-05-27T06:31:00Z</dcterms:created>
  <dcterms:modified xsi:type="dcterms:W3CDTF">2016-04-18T07:16:00Z</dcterms:modified>
</cp:coreProperties>
</file>