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DFE6" w14:textId="77777777" w:rsidR="000E3B10" w:rsidRPr="000E3B10" w:rsidRDefault="000E3B10" w:rsidP="000E3B10">
      <w:pPr>
        <w:jc w:val="center"/>
        <w:rPr>
          <w:rFonts w:ascii="黑体" w:eastAsia="黑体" w:hAnsi="黑体"/>
          <w:sz w:val="36"/>
          <w:szCs w:val="30"/>
        </w:rPr>
      </w:pPr>
      <w:r w:rsidRPr="000E3B10">
        <w:rPr>
          <w:rFonts w:ascii="黑体" w:eastAsia="黑体" w:hAnsi="黑体" w:hint="eastAsia"/>
          <w:sz w:val="36"/>
          <w:szCs w:val="30"/>
        </w:rPr>
        <w:t>基金从业资格全国统一考试大纲</w:t>
      </w:r>
    </w:p>
    <w:p w14:paraId="5BC26A45" w14:textId="77777777" w:rsidR="000E3B10" w:rsidRPr="000E3B10" w:rsidRDefault="000E3B10" w:rsidP="000E3B10">
      <w:pPr>
        <w:jc w:val="center"/>
        <w:rPr>
          <w:rFonts w:ascii="黑体" w:eastAsia="黑体" w:hAnsi="黑体"/>
          <w:sz w:val="36"/>
          <w:szCs w:val="30"/>
        </w:rPr>
      </w:pPr>
      <w:r w:rsidRPr="000E3B10">
        <w:rPr>
          <w:rFonts w:ascii="黑体" w:eastAsia="黑体" w:hAnsi="黑体" w:hint="eastAsia"/>
          <w:sz w:val="36"/>
          <w:szCs w:val="30"/>
        </w:rPr>
        <w:t>——</w:t>
      </w:r>
      <w:r w:rsidR="006A1448">
        <w:rPr>
          <w:rFonts w:ascii="黑体" w:eastAsia="黑体" w:hAnsi="黑体" w:hint="eastAsia"/>
          <w:sz w:val="36"/>
          <w:szCs w:val="30"/>
        </w:rPr>
        <w:t>证券投资</w:t>
      </w:r>
      <w:r w:rsidR="003E083A">
        <w:rPr>
          <w:rFonts w:ascii="黑体" w:eastAsia="黑体" w:hAnsi="黑体" w:hint="eastAsia"/>
          <w:sz w:val="36"/>
          <w:szCs w:val="30"/>
        </w:rPr>
        <w:t>基金</w:t>
      </w:r>
      <w:r w:rsidRPr="000E3B10">
        <w:rPr>
          <w:rFonts w:ascii="黑体" w:eastAsia="黑体" w:hAnsi="黑体" w:hint="eastAsia"/>
          <w:sz w:val="36"/>
          <w:szCs w:val="30"/>
        </w:rPr>
        <w:t>基础知识（2015年度）</w:t>
      </w:r>
    </w:p>
    <w:p w14:paraId="4C73D29A" w14:textId="77777777" w:rsidR="000E3B10" w:rsidRPr="000E3B10" w:rsidRDefault="000E3B10" w:rsidP="00D5121E">
      <w:pPr>
        <w:rPr>
          <w:rFonts w:ascii="黑体" w:eastAsia="黑体" w:hAnsi="黑体"/>
          <w:sz w:val="30"/>
          <w:szCs w:val="30"/>
        </w:rPr>
      </w:pPr>
    </w:p>
    <w:p w14:paraId="12632940" w14:textId="77777777" w:rsidR="007C426F" w:rsidRPr="007E0721" w:rsidRDefault="00D5121E" w:rsidP="00D5121E">
      <w:pPr>
        <w:rPr>
          <w:rFonts w:ascii="黑体" w:eastAsia="黑体" w:hAnsi="黑体"/>
          <w:sz w:val="30"/>
          <w:szCs w:val="30"/>
        </w:rPr>
      </w:pPr>
      <w:r w:rsidRPr="007E0721">
        <w:rPr>
          <w:rFonts w:ascii="黑体" w:eastAsia="黑体" w:hAnsi="黑体" w:hint="eastAsia"/>
          <w:sz w:val="30"/>
          <w:szCs w:val="30"/>
        </w:rPr>
        <w:t>一、总体目标</w:t>
      </w:r>
    </w:p>
    <w:p w14:paraId="013244C9" w14:textId="77777777" w:rsidR="007B508E" w:rsidRPr="007E0721" w:rsidRDefault="007C426F" w:rsidP="008178BA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7E0721">
        <w:rPr>
          <w:rFonts w:ascii="楷体" w:eastAsia="楷体" w:hAnsi="楷体" w:hint="eastAsia"/>
          <w:sz w:val="30"/>
          <w:szCs w:val="30"/>
        </w:rPr>
        <w:t>为</w:t>
      </w:r>
      <w:r w:rsidR="008178BA">
        <w:rPr>
          <w:rFonts w:ascii="楷体" w:eastAsia="楷体" w:hAnsi="楷体" w:hint="eastAsia"/>
          <w:sz w:val="30"/>
          <w:szCs w:val="30"/>
        </w:rPr>
        <w:t>确保</w:t>
      </w:r>
      <w:r w:rsidRPr="007E0721">
        <w:rPr>
          <w:rFonts w:ascii="楷体" w:eastAsia="楷体" w:hAnsi="楷体" w:hint="eastAsia"/>
          <w:sz w:val="30"/>
          <w:szCs w:val="30"/>
        </w:rPr>
        <w:t>基金从业人员</w:t>
      </w:r>
      <w:r w:rsidR="008178BA">
        <w:rPr>
          <w:rFonts w:ascii="楷体" w:eastAsia="楷体" w:hAnsi="楷体" w:hint="eastAsia"/>
          <w:sz w:val="30"/>
          <w:szCs w:val="30"/>
        </w:rPr>
        <w:t>掌握</w:t>
      </w:r>
      <w:r w:rsidR="000B02FC">
        <w:rPr>
          <w:rFonts w:ascii="楷体" w:eastAsia="楷体" w:hAnsi="楷体" w:hint="eastAsia"/>
          <w:sz w:val="30"/>
          <w:szCs w:val="30"/>
        </w:rPr>
        <w:t>与了解</w:t>
      </w:r>
      <w:r w:rsidR="006A1448">
        <w:rPr>
          <w:rFonts w:ascii="楷体" w:eastAsia="楷体" w:hAnsi="楷体" w:hint="eastAsia"/>
          <w:sz w:val="30"/>
          <w:szCs w:val="30"/>
        </w:rPr>
        <w:t>基金</w:t>
      </w:r>
      <w:r w:rsidR="008178BA" w:rsidRPr="008178BA">
        <w:rPr>
          <w:rFonts w:ascii="楷体" w:eastAsia="楷体" w:hAnsi="楷体" w:hint="eastAsia"/>
          <w:sz w:val="30"/>
          <w:szCs w:val="30"/>
        </w:rPr>
        <w:t>行业相关的基本知识与</w:t>
      </w:r>
      <w:r w:rsidR="006A1448">
        <w:rPr>
          <w:rFonts w:ascii="楷体" w:eastAsia="楷体" w:hAnsi="楷体" w:hint="eastAsia"/>
          <w:sz w:val="30"/>
          <w:szCs w:val="30"/>
        </w:rPr>
        <w:t>专业</w:t>
      </w:r>
      <w:r w:rsidR="008178BA" w:rsidRPr="008178BA">
        <w:rPr>
          <w:rFonts w:ascii="楷体" w:eastAsia="楷体" w:hAnsi="楷体" w:hint="eastAsia"/>
          <w:sz w:val="30"/>
          <w:szCs w:val="30"/>
        </w:rPr>
        <w:t>技能，具备从业必须的</w:t>
      </w:r>
      <w:r w:rsidR="008178BA">
        <w:rPr>
          <w:rFonts w:ascii="楷体" w:eastAsia="楷体" w:hAnsi="楷体" w:hint="eastAsia"/>
          <w:sz w:val="30"/>
          <w:szCs w:val="30"/>
        </w:rPr>
        <w:t>执业能力</w:t>
      </w:r>
      <w:r w:rsidRPr="007E0721">
        <w:rPr>
          <w:rFonts w:ascii="楷体" w:eastAsia="楷体" w:hAnsi="楷体" w:hint="eastAsia"/>
          <w:sz w:val="30"/>
          <w:szCs w:val="30"/>
        </w:rPr>
        <w:t>，</w:t>
      </w:r>
      <w:r w:rsidR="007E0721" w:rsidRPr="007E0721">
        <w:rPr>
          <w:rFonts w:ascii="楷体" w:eastAsia="楷体" w:hAnsi="楷体" w:hint="eastAsia"/>
          <w:sz w:val="30"/>
          <w:szCs w:val="30"/>
        </w:rPr>
        <w:t>特设《</w:t>
      </w:r>
      <w:r w:rsidR="006A1448">
        <w:rPr>
          <w:rFonts w:ascii="楷体" w:eastAsia="楷体" w:hAnsi="楷体" w:hint="eastAsia"/>
          <w:sz w:val="30"/>
          <w:szCs w:val="30"/>
        </w:rPr>
        <w:t>证券投资</w:t>
      </w:r>
      <w:r w:rsidR="008178BA">
        <w:rPr>
          <w:rFonts w:ascii="楷体" w:eastAsia="楷体" w:hAnsi="楷体" w:hint="eastAsia"/>
          <w:sz w:val="30"/>
          <w:szCs w:val="30"/>
        </w:rPr>
        <w:t>基金</w:t>
      </w:r>
      <w:r w:rsidR="000B02FC">
        <w:rPr>
          <w:rFonts w:ascii="楷体" w:eastAsia="楷体" w:hAnsi="楷体" w:hint="eastAsia"/>
          <w:sz w:val="30"/>
          <w:szCs w:val="30"/>
        </w:rPr>
        <w:t>基础知识》科目</w:t>
      </w:r>
      <w:r w:rsidR="007E0721" w:rsidRPr="007E0721">
        <w:rPr>
          <w:rFonts w:ascii="楷体" w:eastAsia="楷体" w:hAnsi="楷体" w:hint="eastAsia"/>
          <w:sz w:val="30"/>
          <w:szCs w:val="30"/>
        </w:rPr>
        <w:t>。</w:t>
      </w:r>
    </w:p>
    <w:p w14:paraId="00857FE8" w14:textId="77777777" w:rsidR="00EB232D" w:rsidRPr="00EB232D" w:rsidRDefault="00EB232D" w:rsidP="00EB232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EB232D">
        <w:rPr>
          <w:rFonts w:ascii="黑体" w:eastAsia="黑体" w:hAnsi="黑体" w:hint="eastAsia"/>
          <w:sz w:val="30"/>
          <w:szCs w:val="30"/>
        </w:rPr>
        <w:t>、能力等级</w:t>
      </w:r>
    </w:p>
    <w:p w14:paraId="1C889331" w14:textId="77777777"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/>
          <w:sz w:val="30"/>
          <w:szCs w:val="30"/>
        </w:rPr>
        <w:t xml:space="preserve"> 能力等级是对考生专业知识掌握程度的最低要求，分为三个级别：</w:t>
      </w:r>
    </w:p>
    <w:p w14:paraId="3E838EB6" w14:textId="77777777"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/>
          <w:sz w:val="30"/>
          <w:szCs w:val="30"/>
        </w:rPr>
        <w:t>（一）</w:t>
      </w:r>
      <w:r w:rsidRPr="00EB232D">
        <w:rPr>
          <w:rFonts w:ascii="楷体" w:eastAsia="楷体" w:hAnsi="楷体" w:hint="eastAsia"/>
          <w:sz w:val="30"/>
          <w:szCs w:val="30"/>
        </w:rPr>
        <w:t>掌握：考生须在考试和实际工作中理解并熟练运用的内容。</w:t>
      </w:r>
    </w:p>
    <w:p w14:paraId="5806A762" w14:textId="77777777"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 w:hint="eastAsia"/>
          <w:sz w:val="30"/>
          <w:szCs w:val="30"/>
        </w:rPr>
        <w:t>（二）理解：考生须对该考点的概念、理念、原则、意义、应用范围等有清晰的认识。</w:t>
      </w:r>
    </w:p>
    <w:p w14:paraId="125032DF" w14:textId="77777777" w:rsid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 w:hint="eastAsia"/>
          <w:sz w:val="30"/>
          <w:szCs w:val="30"/>
        </w:rPr>
        <w:t xml:space="preserve">（三）了解： </w:t>
      </w:r>
      <w:r w:rsidR="00F81967">
        <w:rPr>
          <w:rFonts w:ascii="楷体" w:eastAsia="楷体" w:hAnsi="楷体" w:hint="eastAsia"/>
          <w:sz w:val="30"/>
          <w:szCs w:val="30"/>
        </w:rPr>
        <w:t>作为泛读内容，考生对其有一个基础的认识</w:t>
      </w:r>
      <w:r w:rsidRPr="00EB232D">
        <w:rPr>
          <w:rFonts w:ascii="楷体" w:eastAsia="楷体" w:hAnsi="楷体" w:hint="eastAsia"/>
          <w:sz w:val="30"/>
          <w:szCs w:val="30"/>
        </w:rPr>
        <w:t>。</w:t>
      </w:r>
    </w:p>
    <w:p w14:paraId="29BC4771" w14:textId="77777777" w:rsidR="00EB232D" w:rsidRPr="007E0721" w:rsidRDefault="00EB232D" w:rsidP="00EB232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Pr="007E0721">
        <w:rPr>
          <w:rFonts w:ascii="黑体" w:eastAsia="黑体" w:hAnsi="黑体" w:hint="eastAsia"/>
          <w:sz w:val="30"/>
          <w:szCs w:val="30"/>
        </w:rPr>
        <w:t>、考试内容与能力要求</w:t>
      </w:r>
    </w:p>
    <w:p w14:paraId="370D76E5" w14:textId="77777777" w:rsidR="00B079A2" w:rsidRPr="007E0721" w:rsidRDefault="00EB232D" w:rsidP="00B079A2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7E0721">
        <w:rPr>
          <w:rFonts w:ascii="楷体" w:eastAsia="楷体" w:hAnsi="楷体" w:hint="eastAsia"/>
          <w:sz w:val="30"/>
          <w:szCs w:val="30"/>
        </w:rPr>
        <w:t>考生应当根据本科目考试内容与能力等级的要求，</w:t>
      </w:r>
      <w:r w:rsidR="00B079A2" w:rsidRPr="007E0721">
        <w:rPr>
          <w:rFonts w:ascii="楷体" w:eastAsia="楷体" w:hAnsi="楷体" w:hint="eastAsia"/>
          <w:sz w:val="30"/>
          <w:szCs w:val="30"/>
        </w:rPr>
        <w:t>掌握</w:t>
      </w:r>
      <w:r w:rsidR="00B079A2">
        <w:rPr>
          <w:rFonts w:ascii="楷体" w:eastAsia="楷体" w:hAnsi="楷体" w:hint="eastAsia"/>
          <w:sz w:val="30"/>
          <w:szCs w:val="30"/>
        </w:rPr>
        <w:t>下列从业必须的</w:t>
      </w:r>
      <w:r w:rsidR="000B02FC">
        <w:rPr>
          <w:rFonts w:ascii="楷体" w:eastAsia="楷体" w:hAnsi="楷体" w:hint="eastAsia"/>
          <w:sz w:val="30"/>
          <w:szCs w:val="30"/>
        </w:rPr>
        <w:t>基础知识与专业技能</w:t>
      </w:r>
      <w:r w:rsidR="00B079A2">
        <w:rPr>
          <w:rFonts w:ascii="楷体" w:eastAsia="楷体" w:hAnsi="楷体" w:hint="eastAsia"/>
          <w:sz w:val="30"/>
          <w:szCs w:val="30"/>
        </w:rPr>
        <w:t>，并具备</w:t>
      </w:r>
      <w:r w:rsidRPr="007E0721">
        <w:rPr>
          <w:rFonts w:ascii="楷体" w:eastAsia="楷体" w:hAnsi="楷体" w:hint="eastAsia"/>
          <w:sz w:val="30"/>
          <w:szCs w:val="30"/>
        </w:rPr>
        <w:t>在</w:t>
      </w:r>
      <w:r w:rsidR="00B079A2">
        <w:rPr>
          <w:rFonts w:ascii="楷体" w:eastAsia="楷体" w:hAnsi="楷体" w:hint="eastAsia"/>
          <w:sz w:val="30"/>
          <w:szCs w:val="30"/>
        </w:rPr>
        <w:t>执业过程</w:t>
      </w:r>
      <w:r w:rsidRPr="007E0721">
        <w:rPr>
          <w:rFonts w:ascii="楷体" w:eastAsia="楷体" w:hAnsi="楷体" w:hint="eastAsia"/>
          <w:sz w:val="30"/>
          <w:szCs w:val="30"/>
        </w:rPr>
        <w:t>中</w:t>
      </w:r>
      <w:r w:rsidR="00B079A2">
        <w:rPr>
          <w:rFonts w:ascii="楷体" w:eastAsia="楷体" w:hAnsi="楷体" w:hint="eastAsia"/>
          <w:sz w:val="30"/>
          <w:szCs w:val="30"/>
        </w:rPr>
        <w:t>综合运用</w:t>
      </w:r>
      <w:r w:rsidRPr="007E0721">
        <w:rPr>
          <w:rFonts w:ascii="楷体" w:eastAsia="楷体" w:hAnsi="楷体" w:hint="eastAsia"/>
          <w:sz w:val="30"/>
          <w:szCs w:val="30"/>
        </w:rPr>
        <w:t>相关知识</w:t>
      </w:r>
      <w:r w:rsidR="00B079A2">
        <w:rPr>
          <w:rFonts w:ascii="楷体" w:eastAsia="楷体" w:hAnsi="楷体" w:hint="eastAsia"/>
          <w:sz w:val="30"/>
          <w:szCs w:val="30"/>
        </w:rPr>
        <w:t>的执业技能</w:t>
      </w:r>
      <w:r w:rsidRPr="007E0721">
        <w:rPr>
          <w:rFonts w:ascii="楷体" w:eastAsia="楷体" w:hAnsi="楷体" w:hint="eastAsia"/>
          <w:sz w:val="30"/>
          <w:szCs w:val="30"/>
        </w:rPr>
        <w:t>。</w:t>
      </w:r>
    </w:p>
    <w:p w14:paraId="1A96F58D" w14:textId="77777777" w:rsid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p w14:paraId="2C56EB34" w14:textId="77777777" w:rsidR="002F73ED" w:rsidRDefault="002F73E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p w14:paraId="1D8A0096" w14:textId="77777777" w:rsidR="00F81967" w:rsidRPr="002F73ED" w:rsidRDefault="00F81967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55"/>
        <w:gridCol w:w="846"/>
        <w:gridCol w:w="5559"/>
      </w:tblGrid>
      <w:tr w:rsidR="00267D1E" w:rsidRPr="00513CBE" w14:paraId="3431C30E" w14:textId="77777777" w:rsidTr="006D1B6F">
        <w:trPr>
          <w:trHeight w:val="49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14:paraId="52453409" w14:textId="77777777" w:rsidR="00267D1E" w:rsidRPr="00513CBE" w:rsidRDefault="00FE0B91" w:rsidP="00267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对应教材</w:t>
            </w:r>
            <w:r w:rsidR="00267D1E"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章名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43EA2A4A" w14:textId="77777777" w:rsidR="00267D1E" w:rsidRPr="00513CBE" w:rsidRDefault="00267D1E" w:rsidP="00FE0B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节名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9653DB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BFE41D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学习目标(</w:t>
            </w:r>
            <w:r w:rsidR="00FE0B91"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掌握</w:t>
            </w:r>
            <w:r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/理解/</w:t>
            </w:r>
            <w:r w:rsidR="00FE0B91"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了解</w:t>
            </w:r>
            <w:r w:rsidRPr="00513C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267D1E" w:rsidRPr="00513CBE" w14:paraId="4DF18D0F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7414CF0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6.投资管理基础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5D56D1F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1.财务报表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6C231A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2F862C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理解资产负债表、利润表和现金流量表所提供的信息</w:t>
            </w:r>
          </w:p>
        </w:tc>
      </w:tr>
      <w:tr w:rsidR="00267D1E" w:rsidRPr="00513CBE" w14:paraId="349A4F9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6BD577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8D109A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66B556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EB9450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理解资产、负债和权益</w:t>
            </w:r>
          </w:p>
        </w:tc>
      </w:tr>
      <w:tr w:rsidR="00267D1E" w:rsidRPr="00513CBE" w14:paraId="06578F9E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EEB840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C35FC2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E165F2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B4DE50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理解利润和净现金流</w:t>
            </w:r>
          </w:p>
        </w:tc>
      </w:tr>
      <w:tr w:rsidR="00267D1E" w:rsidRPr="00513CBE" w14:paraId="40E0004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82D469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BFAC0F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DC8911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2736B1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了解营运现金流、投资现金流和融资现金流</w:t>
            </w:r>
          </w:p>
        </w:tc>
      </w:tr>
      <w:tr w:rsidR="00267D1E" w:rsidRPr="00513CBE" w14:paraId="0DB4E8E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C76D8F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66D5DC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2.财务报表分析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CB39F6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1F6A21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理解财务报表分析的概念</w:t>
            </w:r>
          </w:p>
        </w:tc>
      </w:tr>
      <w:tr w:rsidR="00267D1E" w:rsidRPr="00513CBE" w14:paraId="55A0899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057C79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292199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9EBC4C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4E94FA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了解流动性比率、财务杠杆比率、营运效率比率</w:t>
            </w:r>
          </w:p>
        </w:tc>
      </w:tr>
      <w:tr w:rsidR="00267D1E" w:rsidRPr="00513CBE" w14:paraId="5EF37165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0ACB1EE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D6C59F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0C4CD8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90D514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理解衡量盈利能力的三个比率：销售利润率（ROS），资产收益率（ROA），权益报酬率（ROE）</w:t>
            </w:r>
          </w:p>
        </w:tc>
      </w:tr>
      <w:tr w:rsidR="00267D1E" w:rsidRPr="00513CBE" w14:paraId="6B44465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C522BC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7661CF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37278B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98CD7E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了解杜邦分析法</w:t>
            </w:r>
          </w:p>
        </w:tc>
      </w:tr>
      <w:tr w:rsidR="00267D1E" w:rsidRPr="00513CBE" w14:paraId="355A118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54C182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43477D3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3.货币的时间价值与利率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89A7F4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A12267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bookmarkStart w:id="2" w:name="OLE_LINK3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掌握货币的时间价值的概念</w:t>
            </w:r>
            <w:bookmarkEnd w:id="0"/>
            <w:bookmarkEnd w:id="1"/>
            <w:bookmarkEnd w:id="2"/>
            <w:r w:rsidR="00752F7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752F74"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时间和贴现率对价值的影响以及PV和FV的概念、计算和应用</w:t>
            </w:r>
          </w:p>
        </w:tc>
      </w:tr>
      <w:tr w:rsidR="00267D1E" w:rsidRPr="00513CBE" w14:paraId="74FDEBE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B6006C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DF178E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3B829F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B2F69E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掌握即期利率和远期利率的概念</w:t>
            </w:r>
          </w:p>
        </w:tc>
      </w:tr>
      <w:tr w:rsidR="00267D1E" w:rsidRPr="00513CBE" w14:paraId="0DED61E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C50C15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116AD6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E063C9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04FBC0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掌握名义利率和实际利率的概念</w:t>
            </w:r>
          </w:p>
        </w:tc>
      </w:tr>
      <w:tr w:rsidR="00267D1E" w:rsidRPr="00513CBE" w14:paraId="54CED1A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6D1194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EC3C2D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717974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F13C73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掌握单利和复利的概念</w:t>
            </w:r>
          </w:p>
        </w:tc>
      </w:tr>
      <w:tr w:rsidR="00267D1E" w:rsidRPr="00513CBE" w14:paraId="516E6121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841733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1ED1FE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4.常用描述性统计概念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0EDB97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AF1985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掌握平均值、中位数、分位数的概念、计算和应用</w:t>
            </w:r>
          </w:p>
        </w:tc>
      </w:tr>
      <w:tr w:rsidR="00267D1E" w:rsidRPr="00513CBE" w14:paraId="400EFBE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290FDE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F68D19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33C9B4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71E4A2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理解方差和标准差的概念、计算和应用</w:t>
            </w:r>
          </w:p>
        </w:tc>
      </w:tr>
      <w:tr w:rsidR="00267D1E" w:rsidRPr="00513CBE" w14:paraId="1CEEE6C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9E2A8E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7778E6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09EB40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36D234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了解正态分布的特征</w:t>
            </w:r>
          </w:p>
        </w:tc>
      </w:tr>
      <w:tr w:rsidR="00267D1E" w:rsidRPr="00513CBE" w14:paraId="62891B3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41862E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696B5A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EC4501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C415C9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理解相关性的概念</w:t>
            </w:r>
          </w:p>
        </w:tc>
      </w:tr>
      <w:tr w:rsidR="00267D1E" w:rsidRPr="00513CBE" w14:paraId="3E7F69FA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40E4EB9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7.权益投资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292EA99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1.资本结构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E2CE65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B8E55D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理解不同资本类别之间投票权和所有权的区别</w:t>
            </w:r>
          </w:p>
        </w:tc>
      </w:tr>
      <w:tr w:rsidR="00267D1E" w:rsidRPr="00513CBE" w14:paraId="487FD612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9116BF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C68D6B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2.权益证券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D0357A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44725B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理解权益证券的类型和特点</w:t>
            </w:r>
          </w:p>
        </w:tc>
      </w:tr>
      <w:tr w:rsidR="00267D1E" w:rsidRPr="00513CBE" w14:paraId="45C2170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B44478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57901D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E47D82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53D8FC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理解普通股和优先股的区别</w:t>
            </w:r>
          </w:p>
        </w:tc>
      </w:tr>
      <w:tr w:rsidR="00267D1E" w:rsidRPr="00513CBE" w14:paraId="6CB769C9" w14:textId="77777777" w:rsidTr="006D1B6F">
        <w:trPr>
          <w:trHeight w:val="369"/>
          <w:jc w:val="center"/>
        </w:trPr>
        <w:tc>
          <w:tcPr>
            <w:tcW w:w="1080" w:type="dxa"/>
            <w:vMerge/>
            <w:vAlign w:val="center"/>
            <w:hideMark/>
          </w:tcPr>
          <w:p w14:paraId="41F9DE1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9CA69A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5432BB1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CEFF5D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了解存托凭证 (Deposit Receipts)</w:t>
            </w:r>
          </w:p>
        </w:tc>
      </w:tr>
      <w:tr w:rsidR="00267D1E" w:rsidRPr="00513CBE" w14:paraId="11836FD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36229B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7E67E3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085A53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21F9AD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理解可转债的定义、特征和基本要素</w:t>
            </w:r>
          </w:p>
        </w:tc>
      </w:tr>
      <w:tr w:rsidR="00267D1E" w:rsidRPr="00513CBE" w14:paraId="6D053A4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A654C4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B2BA50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46776D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046891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理解权证的定义和基本要素</w:t>
            </w:r>
          </w:p>
        </w:tc>
      </w:tr>
      <w:tr w:rsidR="00267D1E" w:rsidRPr="00513CBE" w14:paraId="7DD012EA" w14:textId="77777777" w:rsidTr="006D1B6F">
        <w:trPr>
          <w:trHeight w:val="396"/>
          <w:jc w:val="center"/>
        </w:trPr>
        <w:tc>
          <w:tcPr>
            <w:tcW w:w="1080" w:type="dxa"/>
            <w:vMerge/>
            <w:vAlign w:val="center"/>
            <w:hideMark/>
          </w:tcPr>
          <w:p w14:paraId="7C9A6FB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BBDA8D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603DBD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7.2.f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D165BE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理解不同种类权益资产的风险收益特征</w:t>
            </w:r>
          </w:p>
        </w:tc>
      </w:tr>
      <w:tr w:rsidR="00267D1E" w:rsidRPr="00513CBE" w14:paraId="1AB0E111" w14:textId="77777777" w:rsidTr="006D1B6F">
        <w:trPr>
          <w:trHeight w:val="501"/>
          <w:jc w:val="center"/>
        </w:trPr>
        <w:tc>
          <w:tcPr>
            <w:tcW w:w="1080" w:type="dxa"/>
            <w:vMerge/>
            <w:vAlign w:val="center"/>
            <w:hideMark/>
          </w:tcPr>
          <w:p w14:paraId="32729A1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18E1A3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39113E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7.2.g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FB5C0C4" w14:textId="4C1CB4EB" w:rsidR="00267D1E" w:rsidRPr="00513CBE" w:rsidRDefault="007D69F3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</w:t>
            </w:r>
            <w:r w:rsidR="00267D1E"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解影响公司在外发行股本的行为</w:t>
            </w:r>
          </w:p>
        </w:tc>
      </w:tr>
      <w:tr w:rsidR="00267D1E" w:rsidRPr="00513CBE" w14:paraId="1ABCF621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0EB7160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20D5D88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3.股票分析方法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6DF6FE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4D5D79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理解股票基本面分析和技术分析的区别</w:t>
            </w:r>
          </w:p>
        </w:tc>
      </w:tr>
      <w:tr w:rsidR="00267D1E" w:rsidRPr="00513CBE" w14:paraId="06F79F89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5E3B18E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1C36D8E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4.股票估值方法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F2C6D0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65FDEE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理解内在估值法与相对估值法的区别</w:t>
            </w:r>
          </w:p>
        </w:tc>
      </w:tr>
      <w:tr w:rsidR="00267D1E" w:rsidRPr="00513CBE" w14:paraId="19B5A3A4" w14:textId="77777777" w:rsidTr="006D1B6F">
        <w:trPr>
          <w:trHeight w:val="467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4B00D2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8.固定收益投资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50F58ED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1.债券与债券市场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774FF9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E7DC32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理解债券市场各参与方的责任以及发行人类型</w:t>
            </w:r>
          </w:p>
        </w:tc>
      </w:tr>
      <w:tr w:rsidR="00267D1E" w:rsidRPr="00513CBE" w14:paraId="223A1707" w14:textId="77777777" w:rsidTr="006D1B6F">
        <w:trPr>
          <w:trHeight w:val="416"/>
          <w:jc w:val="center"/>
        </w:trPr>
        <w:tc>
          <w:tcPr>
            <w:tcW w:w="1080" w:type="dxa"/>
            <w:vMerge/>
            <w:vAlign w:val="center"/>
            <w:hideMark/>
          </w:tcPr>
          <w:p w14:paraId="68537B9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5B8D50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ED1357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AFD4B2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掌握债券的种类和特点</w:t>
            </w:r>
          </w:p>
        </w:tc>
      </w:tr>
      <w:tr w:rsidR="00267D1E" w:rsidRPr="00513CBE" w14:paraId="6DE618BA" w14:textId="77777777" w:rsidTr="006D1B6F">
        <w:trPr>
          <w:trHeight w:val="422"/>
          <w:jc w:val="center"/>
        </w:trPr>
        <w:tc>
          <w:tcPr>
            <w:tcW w:w="1080" w:type="dxa"/>
            <w:vMerge/>
            <w:vAlign w:val="center"/>
            <w:hideMark/>
          </w:tcPr>
          <w:p w14:paraId="29922FE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8455C6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7F6DC4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46E134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理解债券违约时的受偿顺序</w:t>
            </w:r>
          </w:p>
        </w:tc>
      </w:tr>
      <w:tr w:rsidR="00267D1E" w:rsidRPr="00513CBE" w14:paraId="5C4FA708" w14:textId="77777777" w:rsidTr="006D1B6F">
        <w:trPr>
          <w:trHeight w:val="415"/>
          <w:jc w:val="center"/>
        </w:trPr>
        <w:tc>
          <w:tcPr>
            <w:tcW w:w="1080" w:type="dxa"/>
            <w:vMerge/>
            <w:vAlign w:val="center"/>
            <w:hideMark/>
          </w:tcPr>
          <w:p w14:paraId="2F4F8F8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A4226E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6DB453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4FBD60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理解固定利率债券、浮动利率债券和零息债券</w:t>
            </w:r>
          </w:p>
        </w:tc>
      </w:tr>
      <w:tr w:rsidR="00267D1E" w:rsidRPr="00513CBE" w14:paraId="60B5968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6C7D6D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B89D66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1F27D8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EC6EE6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了解嵌入条款的债券</w:t>
            </w:r>
          </w:p>
        </w:tc>
      </w:tr>
      <w:tr w:rsidR="00267D1E" w:rsidRPr="00513CBE" w14:paraId="65A65B4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15C851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56AD19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DF69E7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8.1.f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92904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理解投资债券的风险</w:t>
            </w:r>
          </w:p>
        </w:tc>
      </w:tr>
      <w:tr w:rsidR="00267D1E" w:rsidRPr="00513CBE" w14:paraId="44C3458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A09D17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5B4E3E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797AE1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8.1.g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0FEA9C3" w14:textId="0455682D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理解中国</w:t>
            </w:r>
            <w:r w:rsidR="007D69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债券市场体系的发展</w:t>
            </w:r>
          </w:p>
        </w:tc>
      </w:tr>
      <w:tr w:rsidR="00267D1E" w:rsidRPr="00513CBE" w14:paraId="5DD89FB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250166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5784D1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2.债券价值分</w:t>
            </w: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析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332B69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B927D2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了解DCF估值法的概念和应用</w:t>
            </w:r>
          </w:p>
        </w:tc>
      </w:tr>
      <w:tr w:rsidR="00267D1E" w:rsidRPr="00513CBE" w14:paraId="2B0F492A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A73A85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20EC7D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C1429B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C9213D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掌握债券价格和到期收益率的关系</w:t>
            </w:r>
          </w:p>
        </w:tc>
      </w:tr>
      <w:tr w:rsidR="00267D1E" w:rsidRPr="00513CBE" w14:paraId="2352029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4769CF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571496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6192CA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ED2429B" w14:textId="050DBEC4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理解债券的到期收益率和当期收益率的区别</w:t>
            </w:r>
            <w:r w:rsidR="00B2264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，以及两者与债券价格的关系。</w:t>
            </w:r>
          </w:p>
        </w:tc>
      </w:tr>
      <w:tr w:rsidR="00267D1E" w:rsidRPr="00513CBE" w14:paraId="0906B69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C3AED6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BB2038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73EF31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50196E5" w14:textId="4C5ABFA5" w:rsidR="00267D1E" w:rsidRPr="00513CBE" w:rsidRDefault="00B22644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</w:t>
            </w:r>
            <w:r w:rsidR="00267D1E"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解利率的期限结构和信用利差</w:t>
            </w:r>
          </w:p>
        </w:tc>
      </w:tr>
      <w:tr w:rsidR="00267D1E" w:rsidRPr="00513CBE" w14:paraId="38659F7A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6197B22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39B0A5E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DE97D75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17ECC0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掌握债券久期（麦考</w:t>
            </w:r>
            <w:proofErr w:type="gram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利久期和</w:t>
            </w:r>
            <w:proofErr w:type="gramEnd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修正久期）的计算方法和应用</w:t>
            </w:r>
          </w:p>
        </w:tc>
      </w:tr>
      <w:tr w:rsidR="00267D1E" w:rsidRPr="00513CBE" w14:paraId="2EDF253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DA3E5F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3BAC62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3.货币市场工具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F504BD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67B2FA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掌握货币市场工具的特点</w:t>
            </w:r>
          </w:p>
        </w:tc>
      </w:tr>
      <w:tr w:rsidR="00267D1E" w:rsidRPr="00513CBE" w14:paraId="2A2A5AE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1A417E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F36FAF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B460EE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8.3.b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9B75AF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理解常用货币市场工具类型</w:t>
            </w:r>
          </w:p>
        </w:tc>
      </w:tr>
      <w:tr w:rsidR="00267D1E" w:rsidRPr="00513CBE" w14:paraId="1EA26740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5EF06B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9.衍生工具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DE1ABC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1.衍生工具概述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5875FC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571825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理解衍生品合约的概念和特点</w:t>
            </w:r>
          </w:p>
        </w:tc>
      </w:tr>
      <w:tr w:rsidR="00267D1E" w:rsidRPr="00513CBE" w14:paraId="4E045E6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75FD0B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1D643B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3EF768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4A3E13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了解衍生品合约中的买入和卖出</w:t>
            </w:r>
          </w:p>
        </w:tc>
      </w:tr>
      <w:tr w:rsidR="00267D1E" w:rsidRPr="00513CBE" w14:paraId="23F6E30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8A5E09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EA5FEE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2.远期合约和期货合约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13011D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C2A75D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理解期货和远期的定义与区别</w:t>
            </w:r>
          </w:p>
        </w:tc>
      </w:tr>
      <w:tr w:rsidR="00267D1E" w:rsidRPr="00513CBE" w14:paraId="42070EB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16FCF3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96E5F9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A568E3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59B4DD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理解期货和远期的市场作用</w:t>
            </w:r>
          </w:p>
        </w:tc>
      </w:tr>
      <w:tr w:rsidR="00267D1E" w:rsidRPr="00513CBE" w14:paraId="5068CB8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3CC973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7AD1E1C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3.期权合约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0D0B151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12F58A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了解期权合约和影响期权定价的因子</w:t>
            </w:r>
          </w:p>
        </w:tc>
      </w:tr>
      <w:tr w:rsidR="00267D1E" w:rsidRPr="00513CBE" w14:paraId="0AAF866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F557B4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D66F5D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4.互换合约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1F2D31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B97D41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理解互换合约的概念</w:t>
            </w:r>
          </w:p>
        </w:tc>
      </w:tr>
      <w:tr w:rsidR="00267D1E" w:rsidRPr="00513CBE" w14:paraId="62FAC6F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AC45C4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A14425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640FE4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9.4.b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668F13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了解影响互换合约定价的因子</w:t>
            </w:r>
          </w:p>
        </w:tc>
      </w:tr>
      <w:tr w:rsidR="00267D1E" w:rsidRPr="00513CBE" w14:paraId="5F53F0C1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9B0A2F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8699DE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6DB602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9.4.c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904FC6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理解远期、期货、期权和互换的区别</w:t>
            </w:r>
          </w:p>
        </w:tc>
      </w:tr>
      <w:tr w:rsidR="00267D1E" w:rsidRPr="00513CBE" w14:paraId="2E0AC5C5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248073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10.另类投资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048859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1.另类投资概述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938F04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867B80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理解另类投资的优点和局限</w:t>
            </w:r>
          </w:p>
        </w:tc>
      </w:tr>
      <w:tr w:rsidR="00267D1E" w:rsidRPr="00513CBE" w14:paraId="77866C0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E51F46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18F09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CD302D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61FA84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理解另类投资的投资对象</w:t>
            </w:r>
          </w:p>
        </w:tc>
      </w:tr>
      <w:tr w:rsidR="00267D1E" w:rsidRPr="00513CBE" w14:paraId="232DE378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7AEC0F8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4D1CA1F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2.私</w:t>
            </w:r>
            <w:proofErr w:type="gram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募股权投资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E7E0DD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4E5E92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了解私</w:t>
            </w:r>
            <w:proofErr w:type="gram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募股权投资</w:t>
            </w:r>
            <w:proofErr w:type="gramEnd"/>
          </w:p>
        </w:tc>
      </w:tr>
      <w:tr w:rsidR="00267D1E" w:rsidRPr="00513CBE" w14:paraId="048CF821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327C40D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3CF840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3.不动产投资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B0965F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299E25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了解不动产投资</w:t>
            </w:r>
          </w:p>
        </w:tc>
      </w:tr>
      <w:tr w:rsidR="00267D1E" w:rsidRPr="00513CBE" w14:paraId="3F21C130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2F17B94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3C2B572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4.大宗商品投资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5BB006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20C5B9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了解各类大宗商品投资</w:t>
            </w:r>
          </w:p>
        </w:tc>
      </w:tr>
      <w:tr w:rsidR="00267D1E" w:rsidRPr="00513CBE" w14:paraId="297CC529" w14:textId="77777777" w:rsidTr="006D1B6F">
        <w:trPr>
          <w:trHeight w:val="54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CFD1D6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11.投资者需求与资产配置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5E303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1.投资者类型和特征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96C9D7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6E20F9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掌握投资者的主要类型、区分方法和特征</w:t>
            </w:r>
          </w:p>
        </w:tc>
      </w:tr>
      <w:tr w:rsidR="00267D1E" w:rsidRPr="00513CBE" w14:paraId="4576364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2A47D4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B67D0C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2.投资者需求和投资政策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8C1726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04DD87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理解不同类型投资者在资产配置上的需求和差异</w:t>
            </w:r>
          </w:p>
        </w:tc>
      </w:tr>
      <w:tr w:rsidR="00267D1E" w:rsidRPr="00513CBE" w14:paraId="72FE8D9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30D34F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CB58A3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B838F4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11CA54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理解投资政策说明书包含的主要内容</w:t>
            </w:r>
          </w:p>
        </w:tc>
      </w:tr>
      <w:tr w:rsidR="00267D1E" w:rsidRPr="00513CBE" w14:paraId="77307C38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A8B5F4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12.投资组合管理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FD31D4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1.系统性风险、非系统性风险和风险分散化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116272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9E7A84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掌握系统性风险和非系统性风险的概念和来源</w:t>
            </w:r>
          </w:p>
        </w:tc>
      </w:tr>
      <w:tr w:rsidR="00267D1E" w:rsidRPr="00513CBE" w14:paraId="4E841CE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A1A5FE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0DE595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D1552F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61BAB3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理解风险和收益的对应关系</w:t>
            </w:r>
          </w:p>
        </w:tc>
      </w:tr>
      <w:tr w:rsidR="00267D1E" w:rsidRPr="00513CBE" w14:paraId="608A7FCA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D5554B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D9F839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B87F78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A30787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掌握分散风险的原理和方法</w:t>
            </w:r>
          </w:p>
        </w:tc>
      </w:tr>
      <w:tr w:rsidR="00267D1E" w:rsidRPr="00513CBE" w14:paraId="4030D0D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C554D5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F83C33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2.资产配置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CE5D87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8AD6CB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理解不同资产间的相关性，及其对风险和收益的影响</w:t>
            </w:r>
          </w:p>
        </w:tc>
      </w:tr>
      <w:tr w:rsidR="00267D1E" w:rsidRPr="00513CBE" w14:paraId="3256B8D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BC8CDE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190E6A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EEE2BB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20F5C5A" w14:textId="5076EC3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理解均值方差法</w:t>
            </w:r>
            <w:r w:rsidR="008104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及其应用</w:t>
            </w:r>
          </w:p>
        </w:tc>
      </w:tr>
      <w:tr w:rsidR="00267D1E" w:rsidRPr="00513CBE" w14:paraId="3520F2E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3FF042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94E138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350A61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801B8F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理解最小方差法及有效性前沿、资本市场线</w:t>
            </w:r>
          </w:p>
        </w:tc>
      </w:tr>
      <w:tr w:rsidR="00267D1E" w:rsidRPr="00513CBE" w14:paraId="0C59463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C1383B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3B0469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C8FE8A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7DDA03D" w14:textId="08D23B65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理解CAPM模型</w:t>
            </w:r>
            <w:r w:rsidR="008104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的主要思想、资本市场线和证券市场线</w:t>
            </w:r>
          </w:p>
        </w:tc>
      </w:tr>
      <w:tr w:rsidR="00267D1E" w:rsidRPr="00513CBE" w14:paraId="006713C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7E8523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6A73A2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86F0E7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12.2.e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78B91D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理解战略资产配置和战术资产配置</w:t>
            </w:r>
          </w:p>
        </w:tc>
      </w:tr>
      <w:tr w:rsidR="00267D1E" w:rsidRPr="00513CBE" w14:paraId="289ED5A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D6E093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51635F1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3.被动投资和主动投资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C44BA3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3A9153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了解市场有效性的三个层次</w:t>
            </w:r>
          </w:p>
        </w:tc>
      </w:tr>
      <w:tr w:rsidR="00267D1E" w:rsidRPr="00513CBE" w14:paraId="28CE44F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076AA1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3678F4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6F000F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062C93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掌握主动投资和被动投资的概念、方法和区别</w:t>
            </w:r>
          </w:p>
        </w:tc>
      </w:tr>
      <w:tr w:rsidR="00267D1E" w:rsidRPr="00513CBE" w14:paraId="002EF14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C3930A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90BED2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995C86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23541E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了解市场上主要的指数（股票和债券）的编制方法</w:t>
            </w:r>
          </w:p>
        </w:tc>
      </w:tr>
      <w:tr w:rsidR="00267D1E" w:rsidRPr="00513CBE" w14:paraId="4ECBF37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3EACBB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195272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20C1A4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559BD9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了解市场有效性和主动、被动产品选择的关系</w:t>
            </w:r>
          </w:p>
        </w:tc>
      </w:tr>
      <w:tr w:rsidR="00267D1E" w:rsidRPr="00513CBE" w14:paraId="30094091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01482EB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935007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15EC05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B05FE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了解完全复制、抽样复制和最优化方法复制三种跟踪指数方法的具体应用环境</w:t>
            </w:r>
          </w:p>
        </w:tc>
      </w:tr>
      <w:tr w:rsidR="00267D1E" w:rsidRPr="00513CBE" w14:paraId="7BADAE4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DFEDA3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50613C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5324C5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12.3.f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5A8115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理解股票</w:t>
            </w:r>
            <w:proofErr w:type="gram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型指数</w:t>
            </w:r>
            <w:proofErr w:type="gramEnd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基金的管理和风险收益特征</w:t>
            </w:r>
          </w:p>
        </w:tc>
      </w:tr>
      <w:tr w:rsidR="00267D1E" w:rsidRPr="00513CBE" w14:paraId="55C6871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104208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65FC39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2E0343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12.3.g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E3F846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了解债券指数基金无法完全被动的原因</w:t>
            </w:r>
          </w:p>
        </w:tc>
      </w:tr>
      <w:tr w:rsidR="00267D1E" w:rsidRPr="00513CBE" w14:paraId="7992C98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C39F90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713D37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EA560F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12.3.h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985B58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了解量化投资和多因子模型</w:t>
            </w:r>
          </w:p>
        </w:tc>
      </w:tr>
      <w:tr w:rsidR="00267D1E" w:rsidRPr="00513CBE" w14:paraId="7DAF7B7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F4AEC3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485479E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4.投资组合构建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BD58C2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A6E89F5" w14:textId="55DF369E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理解股票投资组合</w:t>
            </w:r>
            <w:r w:rsidR="004E0F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和债券投资组合</w:t>
            </w: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的构建要点</w:t>
            </w:r>
          </w:p>
        </w:tc>
      </w:tr>
      <w:tr w:rsidR="00267D1E" w:rsidRPr="00513CBE" w14:paraId="5332C3F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AA1D22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3D07FA9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5.投资管理部门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6250CD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12.5.a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66B0887" w14:textId="6FE2B978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理解基金公司投资管理部门设置</w:t>
            </w:r>
            <w:r w:rsidR="004E0F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="004E0FF5"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基金公司投资流程</w:t>
            </w:r>
          </w:p>
        </w:tc>
      </w:tr>
      <w:tr w:rsidR="00267D1E" w:rsidRPr="00513CBE" w14:paraId="099DA6D5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5087014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13.投资交易管理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647D79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1.证券市场的交易机制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D25B9A1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B4F3B2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了解指令驱动市场、报价驱动市场和经纪人市场三种市场</w:t>
            </w:r>
          </w:p>
        </w:tc>
      </w:tr>
      <w:tr w:rsidR="00267D1E" w:rsidRPr="00513CBE" w14:paraId="34E6EB3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015F46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54EB22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715FAC9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142A5F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理解做</w:t>
            </w:r>
            <w:proofErr w:type="gramEnd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市商和经纪人的区别</w:t>
            </w:r>
          </w:p>
        </w:tc>
      </w:tr>
      <w:tr w:rsidR="00267D1E" w:rsidRPr="00513CBE" w14:paraId="78992BAE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9DABD6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7A0EE2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3DC86C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E2ABCC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理解买空、卖空和加杠杆对风险和收益的影响</w:t>
            </w:r>
          </w:p>
        </w:tc>
      </w:tr>
      <w:tr w:rsidR="00267D1E" w:rsidRPr="00513CBE" w14:paraId="3F0F9BA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72DA92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DBDEE4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2.交易执行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A6B798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822186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理解基金公司投资交易流程</w:t>
            </w:r>
          </w:p>
        </w:tc>
      </w:tr>
      <w:tr w:rsidR="00267D1E" w:rsidRPr="00513CBE" w14:paraId="3F541D3A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4D4681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3AAC45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93B83C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B3BC72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了解算法交易的概念和常见策略</w:t>
            </w:r>
          </w:p>
        </w:tc>
      </w:tr>
      <w:tr w:rsidR="00267D1E" w:rsidRPr="00513CBE" w14:paraId="47ABE0F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8F20FD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9576A4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3.交易成本与执行缺口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995DDB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567BC3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理解不同类型的交易成本</w:t>
            </w:r>
          </w:p>
        </w:tc>
      </w:tr>
      <w:tr w:rsidR="00267D1E" w:rsidRPr="00513CBE" w14:paraId="328A43C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7E362C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50C1A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A223CA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13.3.b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E7E68E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了解执行缺口的组成</w:t>
            </w:r>
          </w:p>
        </w:tc>
      </w:tr>
      <w:tr w:rsidR="00267D1E" w:rsidRPr="00513CBE" w14:paraId="4820592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D56DA1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7F8C7E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E1970A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13.3.c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102EBE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了解投资组合资产转持与T-Charter</w:t>
            </w:r>
          </w:p>
        </w:tc>
      </w:tr>
      <w:tr w:rsidR="00267D1E" w:rsidRPr="00513CBE" w14:paraId="7DD73768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1C09FAE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14.投资风险的管理与控制  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45EB247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1.投资风险的类型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E1E98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DC9B2A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掌握风险的定义和分类</w:t>
            </w:r>
          </w:p>
        </w:tc>
      </w:tr>
      <w:tr w:rsidR="00267D1E" w:rsidRPr="00513CBE" w14:paraId="2E472051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4759E5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F478E4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29EF25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EC81E8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理解投资风险的种类</w:t>
            </w:r>
          </w:p>
        </w:tc>
      </w:tr>
      <w:tr w:rsidR="00267D1E" w:rsidRPr="00513CBE" w14:paraId="04A0D22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9AF9B0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0DACF4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2.投资风险的测量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54DD28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59307D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理解事前与事后风险</w:t>
            </w:r>
          </w:p>
        </w:tc>
      </w:tr>
      <w:tr w:rsidR="00267D1E" w:rsidRPr="00513CBE" w14:paraId="0368889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8AAA5C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5A61F4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109CC4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FEF1E4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理解贝塔系数的概念和计算方法</w:t>
            </w:r>
          </w:p>
        </w:tc>
      </w:tr>
      <w:tr w:rsidR="00267D1E" w:rsidRPr="00513CBE" w14:paraId="1D963A7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C4DE98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40552A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40FD1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739C06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理解下行风险和最大回撤的概念和计算方法</w:t>
            </w:r>
          </w:p>
        </w:tc>
      </w:tr>
      <w:tr w:rsidR="00267D1E" w:rsidRPr="00513CBE" w14:paraId="2B56A95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74D5F9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E58E97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4014A4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08A792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理解风险价值</w:t>
            </w:r>
            <w:proofErr w:type="spellStart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VaR</w:t>
            </w:r>
            <w:proofErr w:type="spellEnd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的概念，了解常用计算方法</w:t>
            </w:r>
          </w:p>
        </w:tc>
      </w:tr>
      <w:tr w:rsidR="00267D1E" w:rsidRPr="00513CBE" w14:paraId="68F823F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6AAE56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52EFA0E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3BC4E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14.2.e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DFE89C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了解风险敞口与风险敏感度的概念</w:t>
            </w:r>
          </w:p>
        </w:tc>
      </w:tr>
      <w:tr w:rsidR="00267D1E" w:rsidRPr="00513CBE" w14:paraId="3A1C77D9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2883C3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F7B6F30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3.不同类型基金的风险管理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65506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2CAD365" w14:textId="5C98F04D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理解股票型基金</w:t>
            </w:r>
            <w:r w:rsidR="00A65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与混合型基金</w:t>
            </w: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的风险管理</w:t>
            </w:r>
          </w:p>
        </w:tc>
      </w:tr>
      <w:tr w:rsidR="00267D1E" w:rsidRPr="00513CBE" w14:paraId="61C92A0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D1293F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CC34D5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7AB795" w14:textId="29E4283A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14.3.</w:t>
            </w:r>
            <w:r w:rsidR="00A65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DE192CA" w14:textId="4AFD3ECB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理解债券型基金</w:t>
            </w:r>
            <w:r w:rsidR="00A65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与货币市场基金</w:t>
            </w: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的风险管理</w:t>
            </w:r>
          </w:p>
        </w:tc>
      </w:tr>
      <w:tr w:rsidR="00267D1E" w:rsidRPr="00513CBE" w14:paraId="5253215B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4A77A08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6A55943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24A90C" w14:textId="3D3754E6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14.3.</w:t>
            </w:r>
            <w:r w:rsidR="006D1B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97616B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了解指</w:t>
            </w:r>
            <w:bookmarkStart w:id="3" w:name="_GoBack"/>
            <w:bookmarkEnd w:id="3"/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数、ETF、保本基金、QDII基金、分级基金的风险管理</w:t>
            </w:r>
          </w:p>
        </w:tc>
      </w:tr>
      <w:tr w:rsidR="00267D1E" w:rsidRPr="00513CBE" w14:paraId="09D46AEC" w14:textId="77777777" w:rsidTr="006D1B6F">
        <w:trPr>
          <w:trHeight w:val="54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5A3391F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15.基金业绩评价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0772F4B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1.基金业绩评价概述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22D75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3ACDE2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理解投资业绩评价的基础概念</w:t>
            </w:r>
          </w:p>
        </w:tc>
      </w:tr>
      <w:tr w:rsidR="00267D1E" w:rsidRPr="00513CBE" w14:paraId="1F9ECE9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5169BE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F67C14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2.绝对收益与相对收益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6EFB9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EB6A32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掌握收益率的计算方法</w:t>
            </w:r>
          </w:p>
        </w:tc>
      </w:tr>
      <w:tr w:rsidR="00267D1E" w:rsidRPr="00513CBE" w14:paraId="02F6ED45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2A68372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B185A6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5245E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F5109F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理解业绩比较基准概念与选取方法绝对收益与相对收益的概念</w:t>
            </w:r>
          </w:p>
        </w:tc>
      </w:tr>
      <w:tr w:rsidR="00267D1E" w:rsidRPr="00513CBE" w14:paraId="352D4CD1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5F9229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1AFFED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D0CA6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FF2EAF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理解风险调整后收益的主要指标</w:t>
            </w:r>
          </w:p>
        </w:tc>
      </w:tr>
      <w:tr w:rsidR="00267D1E" w:rsidRPr="00513CBE" w14:paraId="69C0F48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5E8B92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C13F51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3.业绩归因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AE711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3352B0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理解Brinson归因方法的三个归因项</w:t>
            </w:r>
          </w:p>
        </w:tc>
      </w:tr>
      <w:tr w:rsidR="00267D1E" w:rsidRPr="00513CBE" w14:paraId="198CFF2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A70B27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407C0CA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4.基金业绩评价方法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FF033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F2B41E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了解基金评价服务机构</w:t>
            </w:r>
          </w:p>
        </w:tc>
      </w:tr>
      <w:tr w:rsidR="00267D1E" w:rsidRPr="00513CBE" w14:paraId="62A73EF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124939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33FED3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7B2DA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15.4.b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E92D94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了解基金评价中的基金分类、业绩计算和风格类型</w:t>
            </w:r>
          </w:p>
        </w:tc>
      </w:tr>
      <w:tr w:rsidR="00267D1E" w:rsidRPr="00513CBE" w14:paraId="24A6936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5270A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5D2831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7FBF22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15.4.c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786ACF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理解全球投资业绩标准 (GIPS)的目的、作用和要求 </w:t>
            </w:r>
          </w:p>
        </w:tc>
      </w:tr>
      <w:tr w:rsidR="00267D1E" w:rsidRPr="00513CBE" w14:paraId="3CC1DCF1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57223E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17.基金的投资交易与结算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26D6FE1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1.基金参与证券交易所二级市场的交易与清算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0DEE7FD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276A5C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理解证券投资基金场内证券交易市场</w:t>
            </w:r>
          </w:p>
        </w:tc>
      </w:tr>
      <w:tr w:rsidR="00267D1E" w:rsidRPr="00513CBE" w14:paraId="0F6C067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445DEB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77F0D0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023452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4215FF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理解证券投资基金场内证券结算机构</w:t>
            </w:r>
          </w:p>
        </w:tc>
      </w:tr>
      <w:tr w:rsidR="00267D1E" w:rsidRPr="00513CBE" w14:paraId="5852371A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3E40B46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354F36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D0BCF6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91F7ED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理解证券投资基金场内交易涉及的主要费用项目及收费标准</w:t>
            </w:r>
          </w:p>
        </w:tc>
      </w:tr>
      <w:tr w:rsidR="00267D1E" w:rsidRPr="00513CBE" w14:paraId="1F82833A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518CC5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364150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18764D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23467E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理解场内证券交易特别规定及事项</w:t>
            </w:r>
          </w:p>
        </w:tc>
      </w:tr>
      <w:tr w:rsidR="00267D1E" w:rsidRPr="00513CBE" w14:paraId="512AD48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CF1030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50E6E9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5B5C70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9A0996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掌握场内证券交易清算与交收的原则</w:t>
            </w:r>
          </w:p>
        </w:tc>
      </w:tr>
      <w:tr w:rsidR="00267D1E" w:rsidRPr="00513CBE" w14:paraId="2C384FF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328D28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022674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2E1ED6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17.1.f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05C9E7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了解场内证券交易交收与资金清算的内容与模式</w:t>
            </w:r>
          </w:p>
        </w:tc>
      </w:tr>
      <w:tr w:rsidR="00267D1E" w:rsidRPr="00513CBE" w14:paraId="3196F28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7607FA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C0D5FF1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2.银行间债券市场的交易与结算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8265E3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2F950A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了解银行间债券市场的发展与现状</w:t>
            </w:r>
          </w:p>
        </w:tc>
      </w:tr>
      <w:tr w:rsidR="00267D1E" w:rsidRPr="00513CBE" w14:paraId="105B46C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6E1F35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5403A9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C14E70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8F0FE5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理解银行间债券市场的交易制度</w:t>
            </w:r>
          </w:p>
        </w:tc>
      </w:tr>
      <w:tr w:rsidR="00267D1E" w:rsidRPr="00513CBE" w14:paraId="45E3474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8B6DF9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AAD610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8701EF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0609FE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理解银行间市场的交易品种和类型</w:t>
            </w:r>
          </w:p>
        </w:tc>
      </w:tr>
      <w:tr w:rsidR="00267D1E" w:rsidRPr="00513CBE" w14:paraId="69B326B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B3200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851BCAE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2C0170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E40741B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掌握银行间债券结算类型和方式</w:t>
            </w:r>
          </w:p>
        </w:tc>
      </w:tr>
      <w:tr w:rsidR="00267D1E" w:rsidRPr="00513CBE" w14:paraId="23033363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18E144C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5192BC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1B1AA85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17.2.e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7E7646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理解银行间债券结算业务类型</w:t>
            </w:r>
          </w:p>
        </w:tc>
      </w:tr>
      <w:tr w:rsidR="00267D1E" w:rsidRPr="00513CBE" w14:paraId="6A85BE5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CD72C6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75CEC07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3.海外证券市场投资的交易与结算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7BB2BD1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28CB19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了解境外市场交易与结算规则</w:t>
            </w:r>
          </w:p>
        </w:tc>
      </w:tr>
      <w:tr w:rsidR="00267D1E" w:rsidRPr="00513CBE" w14:paraId="416E0FB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7E3798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CB9244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5B2810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17.3.b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C0CC85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理解QDII开展境外投资业务的交易与结算情况</w:t>
            </w:r>
          </w:p>
        </w:tc>
      </w:tr>
      <w:tr w:rsidR="00267D1E" w:rsidRPr="00513CBE" w14:paraId="6D154702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65E9B9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18.基金估值、费用与会计核算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68449E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1.基金资产估值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C13C60E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DA20E8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掌握基金资产估值的概念</w:t>
            </w:r>
          </w:p>
        </w:tc>
      </w:tr>
      <w:tr w:rsidR="00267D1E" w:rsidRPr="00513CBE" w14:paraId="21794DD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452075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9F193DD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3C262A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34F3A3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掌握基金资产估值的法律依据</w:t>
            </w:r>
          </w:p>
        </w:tc>
      </w:tr>
      <w:tr w:rsidR="00267D1E" w:rsidRPr="00513CBE" w14:paraId="1C1D9A6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5ACD0C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1D1622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8AFCE3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B8799A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了解基金资产估值的重要性和需要考虑的因素</w:t>
            </w:r>
          </w:p>
        </w:tc>
      </w:tr>
      <w:tr w:rsidR="00267D1E" w:rsidRPr="00513CBE" w14:paraId="3AD2DB4B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6B9C82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03F318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35B702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5E9F11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理解基金资产估值的责任人</w:t>
            </w:r>
          </w:p>
        </w:tc>
      </w:tr>
      <w:tr w:rsidR="00267D1E" w:rsidRPr="00513CBE" w14:paraId="673B11BF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4633A137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5BC9412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E894F4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18.1.e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4B24CD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理解基金资产估值的估值程序及基本原则</w:t>
            </w:r>
          </w:p>
        </w:tc>
      </w:tr>
      <w:tr w:rsidR="00267D1E" w:rsidRPr="00513CBE" w14:paraId="66FCD56C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6024C25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7D3FC03E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1BEFF6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18.1.f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75946C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理解具体投资品种的估值方法及基金暂停估值的情形</w:t>
            </w:r>
          </w:p>
        </w:tc>
      </w:tr>
      <w:tr w:rsidR="00267D1E" w:rsidRPr="00513CBE" w14:paraId="23AC754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C94729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5FDDDD5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734045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18.1.g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196DD16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了解QDII基金资产估值的特殊规定</w:t>
            </w:r>
          </w:p>
        </w:tc>
      </w:tr>
      <w:tr w:rsidR="00267D1E" w:rsidRPr="00513CBE" w14:paraId="41837626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A1BE7E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B9D65B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2.基金费用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053BF3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7DAD75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了解基金费用的种类，</w:t>
            </w:r>
          </w:p>
        </w:tc>
      </w:tr>
      <w:tr w:rsidR="00267D1E" w:rsidRPr="00513CBE" w14:paraId="44D5A982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6B58785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C0D1744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D426325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6E25B4E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掌握基金管理费、托管费及销售服务费的计提标准及计提方式</w:t>
            </w:r>
          </w:p>
        </w:tc>
      </w:tr>
      <w:tr w:rsidR="00267D1E" w:rsidRPr="00513CBE" w14:paraId="2442C94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53D4C8D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529365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917ADA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C6EDDE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了解不列入基金费用的项目种类</w:t>
            </w:r>
          </w:p>
        </w:tc>
      </w:tr>
      <w:tr w:rsidR="00267D1E" w:rsidRPr="00513CBE" w14:paraId="5816A0A2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31302F5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2093E256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3.基金会计核算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45EC1A6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18.3.a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237F74A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理解基金会计核算的特点及主要内容</w:t>
            </w:r>
          </w:p>
        </w:tc>
      </w:tr>
      <w:tr w:rsidR="00267D1E" w:rsidRPr="00513CBE" w14:paraId="545A8703" w14:textId="77777777" w:rsidTr="006D1B6F">
        <w:trPr>
          <w:trHeight w:val="810"/>
          <w:jc w:val="center"/>
        </w:trPr>
        <w:tc>
          <w:tcPr>
            <w:tcW w:w="1080" w:type="dxa"/>
            <w:vMerge/>
            <w:vAlign w:val="center"/>
            <w:hideMark/>
          </w:tcPr>
          <w:p w14:paraId="771D3D0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37BABE4F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4.基金财务会计报告分析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223C04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18.4.a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0944CFF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理解基金财务报告分析的主要内容</w:t>
            </w:r>
          </w:p>
        </w:tc>
      </w:tr>
      <w:tr w:rsidR="00267D1E" w:rsidRPr="00513CBE" w14:paraId="51C47BC1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FFA56A8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19.基金的利润分配与税收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1DB44C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1.基金利润及利润分配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3EB10D0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BF0D913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掌握基金利润来源及相关财务指标的主要内容</w:t>
            </w:r>
          </w:p>
        </w:tc>
      </w:tr>
      <w:tr w:rsidR="00267D1E" w:rsidRPr="00513CBE" w14:paraId="137DC0C4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9CC6A6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21A388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2F831F2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76A0D7A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掌握利润分配对基金份额净值的影响</w:t>
            </w:r>
          </w:p>
        </w:tc>
      </w:tr>
      <w:tr w:rsidR="00267D1E" w:rsidRPr="00513CBE" w14:paraId="2F813514" w14:textId="77777777" w:rsidTr="006D1B6F">
        <w:trPr>
          <w:trHeight w:val="540"/>
          <w:jc w:val="center"/>
        </w:trPr>
        <w:tc>
          <w:tcPr>
            <w:tcW w:w="1080" w:type="dxa"/>
            <w:vMerge/>
            <w:vAlign w:val="center"/>
            <w:hideMark/>
          </w:tcPr>
          <w:p w14:paraId="5A58E15D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ECA958A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CD7800F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19.1.c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258B0BD" w14:textId="7401A0EE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理解基金分红的不同方式和货币市场基金利润分配的特殊规定</w:t>
            </w:r>
          </w:p>
        </w:tc>
      </w:tr>
      <w:tr w:rsidR="00267D1E" w:rsidRPr="00513CBE" w14:paraId="4AD727D2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ADE01C2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1F61984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2.基金税收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93D8C9B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2948043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了解基金投资活动中涉及的税收项目</w:t>
            </w:r>
          </w:p>
        </w:tc>
      </w:tr>
      <w:tr w:rsidR="00267D1E" w:rsidRPr="00513CBE" w14:paraId="5F11C1A0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B1F7B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1D98F1E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2544CD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0715816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理解投资者投资基金涉及的税收项目</w:t>
            </w:r>
          </w:p>
        </w:tc>
      </w:tr>
      <w:tr w:rsidR="00267D1E" w:rsidRPr="00513CBE" w14:paraId="27A4D8C2" w14:textId="77777777" w:rsidTr="006D1B6F">
        <w:trPr>
          <w:trHeight w:val="27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473E1155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26.基金国际化的发展概况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32BCD89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1.海外市场发展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278CA9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26.1.a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5F004005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了解投资基金国际化投资概况 </w:t>
            </w:r>
          </w:p>
        </w:tc>
      </w:tr>
      <w:tr w:rsidR="00267D1E" w:rsidRPr="00513CBE" w14:paraId="427C1C8D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7A1C554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2BFF8318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454F987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26.1.b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4AF5604C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了解海外市场的监管情况</w:t>
            </w:r>
          </w:p>
        </w:tc>
      </w:tr>
      <w:tr w:rsidR="00267D1E" w:rsidRPr="00513CBE" w14:paraId="62428997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E60180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37859C7B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2.中国基金国际化发展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1BD0E46A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26.2.a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7D78628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掌握QFII、RQFII的概念、规则和发展概况</w:t>
            </w:r>
          </w:p>
        </w:tc>
      </w:tr>
      <w:tr w:rsidR="00267D1E" w:rsidRPr="00513CBE" w14:paraId="4C5F5C15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2DA556A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AF8F9C3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C928C2C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26.2.b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1D18682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掌握QDII的概念、规则和发展概况</w:t>
            </w:r>
          </w:p>
        </w:tc>
      </w:tr>
      <w:tr w:rsidR="00267D1E" w:rsidRPr="00513CBE" w14:paraId="2904DA1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015C5DE9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F8B63AC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17BA7E3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26.2.c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6FE46BB4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了解基金互认的现状</w:t>
            </w:r>
          </w:p>
        </w:tc>
      </w:tr>
      <w:tr w:rsidR="00267D1E" w:rsidRPr="00513CBE" w14:paraId="63D62B38" w14:textId="77777777" w:rsidTr="006D1B6F">
        <w:trPr>
          <w:trHeight w:val="270"/>
          <w:jc w:val="center"/>
        </w:trPr>
        <w:tc>
          <w:tcPr>
            <w:tcW w:w="1080" w:type="dxa"/>
            <w:vMerge/>
            <w:vAlign w:val="center"/>
            <w:hideMark/>
          </w:tcPr>
          <w:p w14:paraId="3A2F8E61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4D75F9E7" w14:textId="77777777" w:rsidR="00267D1E" w:rsidRPr="00513CBE" w:rsidRDefault="00267D1E" w:rsidP="00FE0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200E484" w14:textId="77777777" w:rsidR="00267D1E" w:rsidRPr="00513CBE" w:rsidRDefault="00267D1E" w:rsidP="00267D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26.2.d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14:paraId="374B6E60" w14:textId="77777777" w:rsidR="00267D1E" w:rsidRPr="00513CBE" w:rsidRDefault="00267D1E" w:rsidP="00267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3C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理解沪港通的重要意义</w:t>
            </w:r>
          </w:p>
        </w:tc>
      </w:tr>
    </w:tbl>
    <w:p w14:paraId="2A44F516" w14:textId="77777777" w:rsidR="00EB232D" w:rsidRPr="00267D1E" w:rsidRDefault="00EB232D" w:rsidP="00A0184E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sectPr w:rsidR="00EB232D" w:rsidRPr="00267D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E04DBB" w15:done="0"/>
  <w15:commentEx w15:paraId="01510DA9" w15:done="0"/>
  <w15:commentEx w15:paraId="28FE3E27" w15:done="0"/>
  <w15:commentEx w15:paraId="3420581E" w15:done="0"/>
  <w15:commentEx w15:paraId="01D1F17A" w15:done="0"/>
  <w15:commentEx w15:paraId="1FA53B24" w15:done="0"/>
  <w15:commentEx w15:paraId="0511FE9E" w15:done="0"/>
  <w15:commentEx w15:paraId="502C5C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CDD32" w14:textId="77777777" w:rsidR="00D435D8" w:rsidRDefault="00D435D8" w:rsidP="00C45C44">
      <w:r>
        <w:separator/>
      </w:r>
    </w:p>
  </w:endnote>
  <w:endnote w:type="continuationSeparator" w:id="0">
    <w:p w14:paraId="6DEEBE9A" w14:textId="77777777" w:rsidR="00D435D8" w:rsidRDefault="00D435D8" w:rsidP="00C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849381"/>
      <w:docPartObj>
        <w:docPartGallery w:val="Page Numbers (Bottom of Page)"/>
        <w:docPartUnique/>
      </w:docPartObj>
    </w:sdtPr>
    <w:sdtEndPr/>
    <w:sdtContent>
      <w:p w14:paraId="4454CECC" w14:textId="1751059D" w:rsidR="00E82945" w:rsidRDefault="00E829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6F" w:rsidRPr="006D1B6F">
          <w:rPr>
            <w:noProof/>
            <w:lang w:val="zh-CN"/>
          </w:rPr>
          <w:t>5</w:t>
        </w:r>
        <w:r>
          <w:fldChar w:fldCharType="end"/>
        </w:r>
      </w:p>
    </w:sdtContent>
  </w:sdt>
  <w:p w14:paraId="048E4EB1" w14:textId="77777777" w:rsidR="00E82945" w:rsidRDefault="00E829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EAD69" w14:textId="77777777" w:rsidR="00D435D8" w:rsidRDefault="00D435D8" w:rsidP="00C45C44">
      <w:r>
        <w:separator/>
      </w:r>
    </w:p>
  </w:footnote>
  <w:footnote w:type="continuationSeparator" w:id="0">
    <w:p w14:paraId="487D512B" w14:textId="77777777" w:rsidR="00D435D8" w:rsidRDefault="00D435D8" w:rsidP="00C4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2268"/>
    <w:multiLevelType w:val="hybridMultilevel"/>
    <w:tmpl w:val="7FEAB0AC"/>
    <w:lvl w:ilvl="0" w:tplc="2C76F6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F6C44"/>
    <w:multiLevelType w:val="hybridMultilevel"/>
    <w:tmpl w:val="7026D5B8"/>
    <w:lvl w:ilvl="0" w:tplc="28501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 Jingde(陈景德)">
    <w15:presenceInfo w15:providerId="AD" w15:userId="S-1-5-21-2852221630-2733406455-1007305228-2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3"/>
    <w:rsid w:val="000655FE"/>
    <w:rsid w:val="000B02FC"/>
    <w:rsid w:val="000B72A0"/>
    <w:rsid w:val="000B7C7F"/>
    <w:rsid w:val="000E3B10"/>
    <w:rsid w:val="000F5A39"/>
    <w:rsid w:val="00174B13"/>
    <w:rsid w:val="00193902"/>
    <w:rsid w:val="001E4BC0"/>
    <w:rsid w:val="001F48CA"/>
    <w:rsid w:val="001F74C1"/>
    <w:rsid w:val="00236820"/>
    <w:rsid w:val="00267D1E"/>
    <w:rsid w:val="00295B6D"/>
    <w:rsid w:val="002F73ED"/>
    <w:rsid w:val="003802AB"/>
    <w:rsid w:val="003E083A"/>
    <w:rsid w:val="003E6200"/>
    <w:rsid w:val="003F1F1F"/>
    <w:rsid w:val="0049228A"/>
    <w:rsid w:val="004E0FF5"/>
    <w:rsid w:val="004F4650"/>
    <w:rsid w:val="00513CBE"/>
    <w:rsid w:val="00551F92"/>
    <w:rsid w:val="005A758C"/>
    <w:rsid w:val="006425C0"/>
    <w:rsid w:val="00686C4C"/>
    <w:rsid w:val="006A1448"/>
    <w:rsid w:val="006A5F01"/>
    <w:rsid w:val="006D1B6F"/>
    <w:rsid w:val="00703C12"/>
    <w:rsid w:val="00752F74"/>
    <w:rsid w:val="00785561"/>
    <w:rsid w:val="007B508E"/>
    <w:rsid w:val="007C426F"/>
    <w:rsid w:val="007D69F3"/>
    <w:rsid w:val="007E0721"/>
    <w:rsid w:val="0081047E"/>
    <w:rsid w:val="008178BA"/>
    <w:rsid w:val="00997DC9"/>
    <w:rsid w:val="009C1942"/>
    <w:rsid w:val="00A0184E"/>
    <w:rsid w:val="00A119E2"/>
    <w:rsid w:val="00A124C6"/>
    <w:rsid w:val="00A659B0"/>
    <w:rsid w:val="00A71708"/>
    <w:rsid w:val="00B079A2"/>
    <w:rsid w:val="00B20552"/>
    <w:rsid w:val="00B218A3"/>
    <w:rsid w:val="00B22644"/>
    <w:rsid w:val="00C25A88"/>
    <w:rsid w:val="00C45C44"/>
    <w:rsid w:val="00C50BD0"/>
    <w:rsid w:val="00C80461"/>
    <w:rsid w:val="00C8481B"/>
    <w:rsid w:val="00C91B72"/>
    <w:rsid w:val="00CC0AB1"/>
    <w:rsid w:val="00CC3414"/>
    <w:rsid w:val="00D435D8"/>
    <w:rsid w:val="00D5121E"/>
    <w:rsid w:val="00D74A31"/>
    <w:rsid w:val="00DA48B8"/>
    <w:rsid w:val="00DE6CC5"/>
    <w:rsid w:val="00E14F24"/>
    <w:rsid w:val="00E71524"/>
    <w:rsid w:val="00E767D0"/>
    <w:rsid w:val="00E82945"/>
    <w:rsid w:val="00E9013D"/>
    <w:rsid w:val="00EB232D"/>
    <w:rsid w:val="00F00C9E"/>
    <w:rsid w:val="00F6713B"/>
    <w:rsid w:val="00F81967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E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1E"/>
    <w:pPr>
      <w:ind w:firstLineChars="200" w:firstLine="420"/>
    </w:pPr>
  </w:style>
  <w:style w:type="table" w:styleId="a4">
    <w:name w:val="Table Grid"/>
    <w:basedOn w:val="a1"/>
    <w:uiPriority w:val="59"/>
    <w:rsid w:val="007B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26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5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5C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1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70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52F7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52F74"/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752F7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52F7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52F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1E"/>
    <w:pPr>
      <w:ind w:firstLineChars="200" w:firstLine="420"/>
    </w:pPr>
  </w:style>
  <w:style w:type="table" w:styleId="a4">
    <w:name w:val="Table Grid"/>
    <w:basedOn w:val="a1"/>
    <w:uiPriority w:val="59"/>
    <w:rsid w:val="007B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26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5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5C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1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70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52F7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52F74"/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752F7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52F7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52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马雯</dc:creator>
  <cp:lastModifiedBy>任慧凝:拟稿</cp:lastModifiedBy>
  <cp:revision>45</cp:revision>
  <cp:lastPrinted>2015-07-17T02:18:00Z</cp:lastPrinted>
  <dcterms:created xsi:type="dcterms:W3CDTF">2015-05-27T08:48:00Z</dcterms:created>
  <dcterms:modified xsi:type="dcterms:W3CDTF">2016-01-26T01:26:00Z</dcterms:modified>
</cp:coreProperties>
</file>