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5514C">
      <w:pPr>
        <w:pStyle w:val="2"/>
        <w:jc w:val="center"/>
      </w:pPr>
      <w:r>
        <w:rPr>
          <w:rFonts w:hint="eastAsia"/>
        </w:rPr>
        <w:t>规模以上证券类管理人报表业务规则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132"/>
        <w:gridCol w:w="2047"/>
        <w:gridCol w:w="1984"/>
      </w:tblGrid>
      <w:tr w14:paraId="6CE03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5B7A5CF4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32" w:type="dxa"/>
          </w:tcPr>
          <w:p w14:paraId="6A6FDD82">
            <w:r>
              <w:rPr>
                <w:rFonts w:hint="eastAsia"/>
              </w:rPr>
              <w:t>最后修订时间</w:t>
            </w:r>
          </w:p>
        </w:tc>
        <w:tc>
          <w:tcPr>
            <w:tcW w:w="2047" w:type="dxa"/>
          </w:tcPr>
          <w:p w14:paraId="43197094">
            <w:r>
              <w:rPr>
                <w:rFonts w:hint="eastAsia"/>
              </w:rPr>
              <w:t>修订人</w:t>
            </w:r>
          </w:p>
        </w:tc>
        <w:tc>
          <w:tcPr>
            <w:tcW w:w="1984" w:type="dxa"/>
          </w:tcPr>
          <w:p w14:paraId="1BB4B8FF">
            <w:r>
              <w:t>修改内容简述</w:t>
            </w:r>
          </w:p>
        </w:tc>
      </w:tr>
      <w:tr w14:paraId="3374A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2F4C29A9">
            <w:r>
              <w:t>V1.0</w:t>
            </w:r>
          </w:p>
        </w:tc>
        <w:tc>
          <w:tcPr>
            <w:tcW w:w="2132" w:type="dxa"/>
          </w:tcPr>
          <w:p w14:paraId="603A12B6">
            <w:r>
              <w:rPr>
                <w:rFonts w:hint="eastAsia"/>
              </w:rPr>
              <w:t>2</w:t>
            </w:r>
            <w:r>
              <w:t>022-8-15</w:t>
            </w:r>
          </w:p>
        </w:tc>
        <w:tc>
          <w:tcPr>
            <w:tcW w:w="2047" w:type="dxa"/>
          </w:tcPr>
          <w:p w14:paraId="68F2CA17">
            <w:r>
              <w:rPr>
                <w:rFonts w:hint="eastAsia"/>
              </w:rPr>
              <w:t>宦翔</w:t>
            </w:r>
          </w:p>
        </w:tc>
        <w:tc>
          <w:tcPr>
            <w:tcW w:w="1984" w:type="dxa"/>
          </w:tcPr>
          <w:p w14:paraId="7ED84F0A"/>
        </w:tc>
      </w:tr>
      <w:tr w14:paraId="740C0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249058F7">
            <w:pPr>
              <w:rPr>
                <w:rFonts w:hint="eastAsia" w:eastAsiaTheme="minorEastAsia"/>
                <w:lang w:val="en-US" w:eastAsia="zh-CN"/>
              </w:rPr>
            </w:pPr>
            <w:r>
              <w:t>V1.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132" w:type="dxa"/>
          </w:tcPr>
          <w:p w14:paraId="19B39802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2024-9-9</w:t>
            </w:r>
          </w:p>
        </w:tc>
        <w:tc>
          <w:tcPr>
            <w:tcW w:w="2047" w:type="dxa"/>
          </w:tcPr>
          <w:p w14:paraId="5F54E18E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齐占豪</w:t>
            </w:r>
          </w:p>
        </w:tc>
        <w:tc>
          <w:tcPr>
            <w:tcW w:w="1984" w:type="dxa"/>
          </w:tcPr>
          <w:p w14:paraId="571DEB20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增加3个字段和对应校验</w:t>
            </w:r>
            <w:bookmarkStart w:id="0" w:name="_GoBack"/>
            <w:bookmarkEnd w:id="0"/>
          </w:p>
        </w:tc>
      </w:tr>
    </w:tbl>
    <w:p w14:paraId="0D0BA89B"/>
    <w:p w14:paraId="2437A736"/>
    <w:p w14:paraId="6ED74D93"/>
    <w:p w14:paraId="58EFE560">
      <w:pPr>
        <w:pStyle w:val="3"/>
        <w:numPr>
          <w:ilvl w:val="0"/>
          <w:numId w:val="1"/>
        </w:numPr>
      </w:pPr>
      <w:r>
        <w:rPr>
          <w:rFonts w:hint="eastAsia"/>
        </w:rPr>
        <w:t>入口文件说明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4280"/>
        <w:gridCol w:w="2120"/>
      </w:tblGrid>
      <w:tr w14:paraId="7D9F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pct"/>
          </w:tcPr>
          <w:p w14:paraId="053C2665">
            <w:r>
              <w:rPr>
                <w:rFonts w:hint="eastAsia"/>
              </w:rPr>
              <w:t>属性</w:t>
            </w:r>
          </w:p>
        </w:tc>
        <w:tc>
          <w:tcPr>
            <w:tcW w:w="2511" w:type="pct"/>
          </w:tcPr>
          <w:p w14:paraId="2F2C9B45">
            <w:r>
              <w:rPr>
                <w:rFonts w:hint="eastAsia"/>
              </w:rPr>
              <w:t>名称</w:t>
            </w:r>
          </w:p>
        </w:tc>
        <w:tc>
          <w:tcPr>
            <w:tcW w:w="1244" w:type="pct"/>
          </w:tcPr>
          <w:p w14:paraId="7215B4B5">
            <w:r>
              <w:rPr>
                <w:rFonts w:hint="eastAsia"/>
              </w:rPr>
              <w:t>说明</w:t>
            </w:r>
          </w:p>
        </w:tc>
      </w:tr>
      <w:tr w14:paraId="3F00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pct"/>
          </w:tcPr>
          <w:p w14:paraId="5BD87DB0">
            <w:r>
              <w:rPr>
                <w:rFonts w:hint="eastAsia"/>
              </w:rPr>
              <w:t>XBRL入口地址</w:t>
            </w:r>
          </w:p>
        </w:tc>
        <w:tc>
          <w:tcPr>
            <w:tcW w:w="2511" w:type="pct"/>
          </w:tcPr>
          <w:p w14:paraId="6EEBF4D5">
            <w:r>
              <w:t>http://www.amac.org.cn</w:t>
            </w:r>
            <w:r>
              <w:rPr>
                <w:rFonts w:hint="eastAsia"/>
              </w:rPr>
              <w:t>/</w:t>
            </w:r>
            <w:r>
              <w:t>amac/pf</w:t>
            </w:r>
            <w:r>
              <w:rPr>
                <w:rFonts w:hint="eastAsia"/>
              </w:rPr>
              <w:t>/</w:t>
            </w:r>
            <w:r>
              <w:t>pf_assmr_amac_2016-03-31.xsd</w:t>
            </w:r>
          </w:p>
        </w:tc>
        <w:tc>
          <w:tcPr>
            <w:tcW w:w="1244" w:type="pct"/>
          </w:tcPr>
          <w:p w14:paraId="2EC1AA0E">
            <w:r>
              <w:rPr>
                <w:rFonts w:hint="eastAsia"/>
              </w:rPr>
              <w:t>规模以上证券类管理人报表</w:t>
            </w:r>
            <w:r>
              <w:t>入口模式文件</w:t>
            </w:r>
          </w:p>
        </w:tc>
      </w:tr>
      <w:tr w14:paraId="206BF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pct"/>
          </w:tcPr>
          <w:p w14:paraId="3F970EB2">
            <w:r>
              <w:t>amac:TemplateVersion</w:t>
            </w:r>
          </w:p>
        </w:tc>
        <w:tc>
          <w:tcPr>
            <w:tcW w:w="2511" w:type="pct"/>
          </w:tcPr>
          <w:p w14:paraId="793A3F18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244" w:type="pct"/>
          </w:tcPr>
          <w:p w14:paraId="40EB76C9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、JSON直连报送版本号信息</w:t>
            </w:r>
          </w:p>
        </w:tc>
      </w:tr>
    </w:tbl>
    <w:p w14:paraId="5EA1A270"/>
    <w:p w14:paraId="461B823D">
      <w:pPr>
        <w:pStyle w:val="3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430F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</w:tcPr>
          <w:p w14:paraId="34959E0D">
            <w:pPr>
              <w:jc w:val="center"/>
            </w:pPr>
            <w:r>
              <w:rPr>
                <w:rFonts w:hint="eastAsia"/>
              </w:rPr>
              <w:t>管理人基本信息表</w:t>
            </w:r>
          </w:p>
        </w:tc>
      </w:tr>
      <w:tr w14:paraId="2C9A1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4A62D38C">
            <w:pPr>
              <w:widowControl/>
              <w:jc w:val="left"/>
              <w:rPr>
                <w:rFonts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管理人名称</w:t>
            </w:r>
          </w:p>
        </w:tc>
        <w:tc>
          <w:tcPr>
            <w:tcW w:w="4148" w:type="dxa"/>
            <w:vAlign w:val="bottom"/>
          </w:tcPr>
          <w:p w14:paraId="7ACBD24B">
            <w:pPr>
              <w:widowControl/>
              <w:jc w:val="left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从AMBERS系统带入，不可修改, 必填</w:t>
            </w:r>
          </w:p>
        </w:tc>
      </w:tr>
      <w:tr w14:paraId="4017E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16EC5E98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管理人编码</w:t>
            </w:r>
          </w:p>
        </w:tc>
        <w:tc>
          <w:tcPr>
            <w:tcW w:w="4148" w:type="dxa"/>
            <w:vAlign w:val="bottom"/>
          </w:tcPr>
          <w:p w14:paraId="18426F9D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从AMBERS系统带入，不可修改, 必填</w:t>
            </w:r>
          </w:p>
        </w:tc>
      </w:tr>
      <w:tr w14:paraId="460F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235E3F57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管理基金数量</w:t>
            </w:r>
          </w:p>
        </w:tc>
        <w:tc>
          <w:tcPr>
            <w:tcW w:w="4148" w:type="dxa"/>
            <w:vAlign w:val="bottom"/>
          </w:tcPr>
          <w:p w14:paraId="212E4F81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从AMBERS系统带入，可修改, 必填</w:t>
            </w:r>
          </w:p>
        </w:tc>
      </w:tr>
      <w:tr w14:paraId="4645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6A2A1F68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其中：管理证券类基金数量</w:t>
            </w:r>
          </w:p>
        </w:tc>
        <w:tc>
          <w:tcPr>
            <w:tcW w:w="4148" w:type="dxa"/>
            <w:vAlign w:val="bottom"/>
          </w:tcPr>
          <w:p w14:paraId="3032F4AC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与基金明细表产品数量相等。</w:t>
            </w:r>
          </w:p>
        </w:tc>
      </w:tr>
      <w:tr w14:paraId="51FD4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5A281C91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剔除嵌套后的管理规模</w:t>
            </w:r>
          </w:p>
        </w:tc>
        <w:tc>
          <w:tcPr>
            <w:tcW w:w="4148" w:type="dxa"/>
            <w:vAlign w:val="bottom"/>
          </w:tcPr>
          <w:p w14:paraId="3FF1D66E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　</w:t>
            </w:r>
          </w:p>
        </w:tc>
      </w:tr>
      <w:tr w14:paraId="28C37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22226849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其中：剔除嵌套后的证券类基金规模</w:t>
            </w:r>
          </w:p>
        </w:tc>
        <w:tc>
          <w:tcPr>
            <w:tcW w:w="4148" w:type="dxa"/>
            <w:vAlign w:val="bottom"/>
          </w:tcPr>
          <w:p w14:paraId="5C09A6FF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必填。</w:t>
            </w:r>
            <w:r>
              <w:rPr>
                <w:rFonts w:hint="eastAsia" w:ascii="等线" w:hAnsi="等线" w:eastAsia="等线"/>
                <w:color w:val="000000"/>
                <w:sz w:val="22"/>
              </w:rPr>
              <w:t>小于“剔除嵌套后的管理规模”</w:t>
            </w:r>
          </w:p>
        </w:tc>
      </w:tr>
      <w:tr w14:paraId="1A4B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33CE1C49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当期剔除嵌套后的认购/申购总金额</w:t>
            </w:r>
          </w:p>
        </w:tc>
        <w:tc>
          <w:tcPr>
            <w:tcW w:w="4148" w:type="dxa"/>
            <w:vAlign w:val="bottom"/>
          </w:tcPr>
          <w:p w14:paraId="20F7A816">
            <w:pP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必填，&gt;=0</w:t>
            </w:r>
          </w:p>
        </w:tc>
      </w:tr>
      <w:tr w14:paraId="4BD0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6992630E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当期剔除嵌套后的赎回总金额</w:t>
            </w:r>
          </w:p>
        </w:tc>
        <w:tc>
          <w:tcPr>
            <w:tcW w:w="4148" w:type="dxa"/>
            <w:vAlign w:val="bottom"/>
          </w:tcPr>
          <w:p w14:paraId="4A8961E5">
            <w:pP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必填，&gt;=0</w:t>
            </w:r>
          </w:p>
        </w:tc>
      </w:tr>
      <w:tr w14:paraId="05A3C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1865D3C3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管理人是否存在自营业务</w:t>
            </w:r>
          </w:p>
        </w:tc>
        <w:tc>
          <w:tcPr>
            <w:tcW w:w="4148" w:type="dxa"/>
            <w:vAlign w:val="bottom"/>
          </w:tcPr>
          <w:p w14:paraId="2EA8BBCE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必填</w:t>
            </w:r>
          </w:p>
        </w:tc>
      </w:tr>
      <w:tr w14:paraId="5BE6C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28899D0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管理人自营规模</w:t>
            </w:r>
          </w:p>
        </w:tc>
        <w:tc>
          <w:tcPr>
            <w:tcW w:w="4148" w:type="dxa"/>
            <w:vAlign w:val="center"/>
          </w:tcPr>
          <w:p w14:paraId="22806069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管理人是否存在自营业务为“是”,必填，为否，必不填</w:t>
            </w:r>
          </w:p>
        </w:tc>
      </w:tr>
    </w:tbl>
    <w:p w14:paraId="47E5497B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4B5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</w:tcPr>
          <w:p w14:paraId="769768A5">
            <w:pPr>
              <w:jc w:val="center"/>
            </w:pPr>
            <w:r>
              <w:rPr>
                <w:rFonts w:hint="eastAsia"/>
              </w:rPr>
              <w:t>从事境内证券期货业务的境外子公司和关联方信息表</w:t>
            </w:r>
          </w:p>
        </w:tc>
      </w:tr>
      <w:tr w14:paraId="1F5C6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0C308501">
            <w:pPr>
              <w:widowControl/>
              <w:jc w:val="left"/>
              <w:rPr>
                <w:rFonts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从事境内证券期货业务的境外资管子公司和关联方名称（简称境外子公司和关联方）</w:t>
            </w:r>
          </w:p>
        </w:tc>
        <w:tc>
          <w:tcPr>
            <w:tcW w:w="4148" w:type="dxa"/>
            <w:vAlign w:val="center"/>
          </w:tcPr>
          <w:p w14:paraId="24589F25">
            <w:pPr>
              <w:widowControl/>
              <w:jc w:val="left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　</w:t>
            </w:r>
          </w:p>
        </w:tc>
      </w:tr>
      <w:tr w14:paraId="2BF3E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2DE4AE15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境外子公司和关联方管理基金总资产</w:t>
            </w:r>
          </w:p>
        </w:tc>
        <w:tc>
          <w:tcPr>
            <w:tcW w:w="4148" w:type="dxa"/>
            <w:vAlign w:val="center"/>
          </w:tcPr>
          <w:p w14:paraId="17289531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“子公司和关联方名称”有值，必填，无值，必不填。本字段不小于通过陆股通、QFII、以及其他途径投资境内股票和ETF市值之和</w:t>
            </w:r>
          </w:p>
        </w:tc>
      </w:tr>
      <w:tr w14:paraId="679F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158385F8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境外子公司和关联方管理基金净资产</w:t>
            </w:r>
          </w:p>
        </w:tc>
        <w:tc>
          <w:tcPr>
            <w:tcW w:w="4148" w:type="dxa"/>
            <w:vAlign w:val="center"/>
          </w:tcPr>
          <w:p w14:paraId="6C682D3C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“子公司和关联方名称”有值，必填，无值，必不填</w:t>
            </w:r>
          </w:p>
        </w:tc>
      </w:tr>
      <w:tr w14:paraId="6895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44E06F82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 xml:space="preserve">       其中：通过陆股通投资境内股票市值</w:t>
            </w:r>
          </w:p>
        </w:tc>
        <w:tc>
          <w:tcPr>
            <w:tcW w:w="4148" w:type="dxa"/>
            <w:vAlign w:val="center"/>
          </w:tcPr>
          <w:p w14:paraId="3D77B301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“子公司和关联方名称”有值，必填，无值，必不填</w:t>
            </w:r>
          </w:p>
        </w:tc>
      </w:tr>
      <w:tr w14:paraId="445F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1016EFEC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 xml:space="preserve">       其中：通过QFII投资境内股票市值</w:t>
            </w:r>
          </w:p>
        </w:tc>
        <w:tc>
          <w:tcPr>
            <w:tcW w:w="4148" w:type="dxa"/>
            <w:vAlign w:val="center"/>
          </w:tcPr>
          <w:p w14:paraId="439488DD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“子公司和关联方名称”有值，必填，无值，必不填</w:t>
            </w:r>
          </w:p>
        </w:tc>
      </w:tr>
      <w:tr w14:paraId="23139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6AC5EB29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其中：通过其他途径投资境内股票市值</w:t>
            </w:r>
          </w:p>
        </w:tc>
        <w:tc>
          <w:tcPr>
            <w:tcW w:w="4148" w:type="dxa"/>
            <w:vAlign w:val="center"/>
          </w:tcPr>
          <w:p w14:paraId="0F8D64E3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“子公司和关联方名称”有值，必填，无值，必不填</w:t>
            </w:r>
          </w:p>
        </w:tc>
      </w:tr>
      <w:tr w14:paraId="48A94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1E70D76F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其中：通过陆股通、QFII、其他途径投资境内交易所上市ETF基金市值</w:t>
            </w:r>
          </w:p>
        </w:tc>
        <w:tc>
          <w:tcPr>
            <w:tcW w:w="4148" w:type="dxa"/>
            <w:vAlign w:val="center"/>
          </w:tcPr>
          <w:p w14:paraId="067335CE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“子公司和关联方名称”有值，必填，无值，必不填</w:t>
            </w:r>
          </w:p>
        </w:tc>
      </w:tr>
      <w:tr w14:paraId="51A9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6338EF51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境外子公司和关联方投资境内股票交易服务商名称</w:t>
            </w:r>
          </w:p>
        </w:tc>
        <w:tc>
          <w:tcPr>
            <w:tcW w:w="4148" w:type="dxa"/>
            <w:vAlign w:val="center"/>
          </w:tcPr>
          <w:p w14:paraId="177B03A1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“子公司和关联方名称”有值，必填，无值，必不填</w:t>
            </w:r>
          </w:p>
        </w:tc>
      </w:tr>
      <w:tr w14:paraId="3BCFC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4A582B88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管理人需要说明的其他问题</w:t>
            </w:r>
          </w:p>
        </w:tc>
        <w:tc>
          <w:tcPr>
            <w:tcW w:w="4148" w:type="dxa"/>
            <w:vAlign w:val="center"/>
          </w:tcPr>
          <w:p w14:paraId="2D2A5461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　</w:t>
            </w:r>
          </w:p>
        </w:tc>
      </w:tr>
    </w:tbl>
    <w:p w14:paraId="5CF0BBA5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2693"/>
        <w:gridCol w:w="2914"/>
      </w:tblGrid>
      <w:tr w14:paraId="7703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 w14:paraId="6B75A942">
            <w:pPr>
              <w:jc w:val="center"/>
            </w:pPr>
            <w:r>
              <w:rPr>
                <w:rFonts w:hint="eastAsia"/>
              </w:rPr>
              <w:t>基金明细表</w:t>
            </w:r>
          </w:p>
        </w:tc>
      </w:tr>
      <w:tr w14:paraId="05CF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153CB7BC">
            <w:pPr>
              <w:widowControl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基本情况</w:t>
            </w:r>
          </w:p>
        </w:tc>
        <w:tc>
          <w:tcPr>
            <w:tcW w:w="1418" w:type="dxa"/>
            <w:vMerge w:val="restart"/>
            <w:vAlign w:val="center"/>
          </w:tcPr>
          <w:p w14:paraId="06CBFC55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基本信息</w:t>
            </w:r>
          </w:p>
        </w:tc>
        <w:tc>
          <w:tcPr>
            <w:tcW w:w="2693" w:type="dxa"/>
            <w:vAlign w:val="center"/>
          </w:tcPr>
          <w:p w14:paraId="0F42009A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基金名称</w:t>
            </w:r>
          </w:p>
        </w:tc>
        <w:tc>
          <w:tcPr>
            <w:tcW w:w="2914" w:type="dxa"/>
            <w:vAlign w:val="center"/>
          </w:tcPr>
          <w:p w14:paraId="269D4458">
            <w:pPr>
              <w:widowControl/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</w:tr>
      <w:tr w14:paraId="090DA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6FDD65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79ECEF5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6CEB901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基金编码</w:t>
            </w:r>
          </w:p>
        </w:tc>
        <w:tc>
          <w:tcPr>
            <w:tcW w:w="2914" w:type="dxa"/>
            <w:vAlign w:val="center"/>
          </w:tcPr>
          <w:p w14:paraId="5806DEA0">
            <w:pPr>
              <w:rPr>
                <w:rFonts w:hint="eastAsia" w:ascii="微软雅黑" w:hAnsi="微软雅黑" w:eastAsia="微软雅黑"/>
                <w:sz w:val="18"/>
                <w:szCs w:val="18"/>
              </w:rPr>
            </w:pPr>
          </w:p>
        </w:tc>
      </w:tr>
      <w:tr w14:paraId="35084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3F7D0C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C2CDF7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1FBEA68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是否为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量化基金</w:t>
            </w:r>
          </w:p>
        </w:tc>
        <w:tc>
          <w:tcPr>
            <w:tcW w:w="2914" w:type="dxa"/>
            <w:vAlign w:val="center"/>
          </w:tcPr>
          <w:p w14:paraId="75C6D5E2">
            <w:pPr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必填</w:t>
            </w:r>
          </w:p>
        </w:tc>
      </w:tr>
      <w:tr w14:paraId="787A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2DD048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1AEA19D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EB24851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基金主要投资资产类型</w:t>
            </w:r>
          </w:p>
        </w:tc>
        <w:tc>
          <w:tcPr>
            <w:tcW w:w="2914" w:type="dxa"/>
            <w:vAlign w:val="center"/>
          </w:tcPr>
          <w:p w14:paraId="39AD4C58">
            <w:pPr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必填</w:t>
            </w:r>
          </w:p>
        </w:tc>
      </w:tr>
      <w:tr w14:paraId="15AE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B26F1E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CC1E2AD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DBE44DE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期末净资产</w:t>
            </w:r>
          </w:p>
        </w:tc>
        <w:tc>
          <w:tcPr>
            <w:tcW w:w="2914" w:type="dxa"/>
            <w:vAlign w:val="center"/>
          </w:tcPr>
          <w:p w14:paraId="2D522EBD">
            <w:pPr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（境内股票投资+境内ETF投资+上市公司定向增发股票投资+债券投资+资产支持证券投资+公募基金投资+从事期货业务所缴纳的保证金+从事衍生品业务所缴纳的保证金（不含期权）+衍生品合约价值（不含期权）+买入各类期权缴纳的权利金（含场内场外）+卖出各类期权缴纳的保证金（含场内场外）+期权合约价值+买入返售金融资产+商业银行理财产品投资+信托计划投资+基金公司及其子公司资产管理计划投资+保险资产管理计划投资+证券公司及其子公司资产管理计划投资+期货公司及其子公司资产管理计划投资+私募基金产品投资+银行存款+结算备付金+其他现金类资产+通过港股通投资金额+其他境外投资+新三板挂牌企业投资+应收申购款+应收未收款+其他资产）-(从事衍生品业务收到的保证金（不含期权）+卖出各类期权收取的权利金（含场内场外）+债券回购总额+融资余额+融券余额+已计提但未支付的基金运作费用+已计提但未支付的分红+应付赎回款+应付未付款+其他负债)与基金净资产不得相差2%（上下2%），如若超出该范围，请在备注中说明相差原因</w:t>
            </w:r>
          </w:p>
        </w:tc>
      </w:tr>
      <w:tr w14:paraId="3CE97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D01E2CC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7A957B7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D7CBFC3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期末总资产</w:t>
            </w:r>
          </w:p>
        </w:tc>
        <w:tc>
          <w:tcPr>
            <w:tcW w:w="2914" w:type="dxa"/>
            <w:vAlign w:val="center"/>
          </w:tcPr>
          <w:p w14:paraId="79FC6FC4">
            <w:pPr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必填</w:t>
            </w:r>
          </w:p>
        </w:tc>
      </w:tr>
      <w:tr w14:paraId="066C5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94066B8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DB5C70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DD77784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基金份额</w:t>
            </w:r>
          </w:p>
        </w:tc>
        <w:tc>
          <w:tcPr>
            <w:tcW w:w="2914" w:type="dxa"/>
            <w:vAlign w:val="center"/>
          </w:tcPr>
          <w:p w14:paraId="7718DF4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仅契约型基金填报</w:t>
            </w:r>
          </w:p>
        </w:tc>
      </w:tr>
      <w:tr w14:paraId="278EA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3EE8A592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资产概况</w:t>
            </w:r>
          </w:p>
        </w:tc>
        <w:tc>
          <w:tcPr>
            <w:tcW w:w="1418" w:type="dxa"/>
            <w:vMerge w:val="restart"/>
            <w:vAlign w:val="center"/>
          </w:tcPr>
          <w:p w14:paraId="77D73DD5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境内证券投资</w:t>
            </w:r>
          </w:p>
        </w:tc>
        <w:tc>
          <w:tcPr>
            <w:tcW w:w="2693" w:type="dxa"/>
            <w:vAlign w:val="center"/>
          </w:tcPr>
          <w:p w14:paraId="34C96FDF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境内股票投资</w:t>
            </w:r>
          </w:p>
        </w:tc>
        <w:tc>
          <w:tcPr>
            <w:tcW w:w="2914" w:type="dxa"/>
            <w:vAlign w:val="center"/>
          </w:tcPr>
          <w:p w14:paraId="26DA6A9D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2DC9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A33498A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0CD511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E666C34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境内ETF投资</w:t>
            </w:r>
          </w:p>
        </w:tc>
        <w:tc>
          <w:tcPr>
            <w:tcW w:w="2914" w:type="dxa"/>
            <w:vAlign w:val="center"/>
          </w:tcPr>
          <w:p w14:paraId="74110F3D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DC77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6B53A74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C7A3CB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DDED30D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上市公司定向增发股票投资</w:t>
            </w:r>
          </w:p>
        </w:tc>
        <w:tc>
          <w:tcPr>
            <w:tcW w:w="2914" w:type="dxa"/>
            <w:vAlign w:val="center"/>
          </w:tcPr>
          <w:p w14:paraId="5859FE68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0677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0F1FDCE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D762745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600077F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债券投资</w:t>
            </w:r>
          </w:p>
        </w:tc>
        <w:tc>
          <w:tcPr>
            <w:tcW w:w="2914" w:type="dxa"/>
            <w:vAlign w:val="center"/>
          </w:tcPr>
          <w:p w14:paraId="1C482F96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必填，=其中：利率债+其中：信用债</w:t>
            </w:r>
          </w:p>
        </w:tc>
      </w:tr>
      <w:tr w14:paraId="4984D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6DA91AA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A791E92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08A6631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其中：银行间市场债券</w:t>
            </w:r>
          </w:p>
        </w:tc>
        <w:tc>
          <w:tcPr>
            <w:tcW w:w="2914" w:type="dxa"/>
            <w:vAlign w:val="center"/>
          </w:tcPr>
          <w:p w14:paraId="6C588C7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436FD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B846CB3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BEB10D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3FC4851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其中：利率债</w:t>
            </w:r>
          </w:p>
        </w:tc>
        <w:tc>
          <w:tcPr>
            <w:tcW w:w="2914" w:type="dxa"/>
            <w:vAlign w:val="center"/>
          </w:tcPr>
          <w:p w14:paraId="3C2FDF5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FFB3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4E16DF6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11B3B1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D18C06B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其中：信用债</w:t>
            </w:r>
          </w:p>
        </w:tc>
        <w:tc>
          <w:tcPr>
            <w:tcW w:w="2914" w:type="dxa"/>
            <w:vAlign w:val="center"/>
          </w:tcPr>
          <w:p w14:paraId="3043DC20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307D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D4D0FE5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C6C8CB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9A6444B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资产支持证券投资</w:t>
            </w:r>
          </w:p>
        </w:tc>
        <w:tc>
          <w:tcPr>
            <w:tcW w:w="2914" w:type="dxa"/>
            <w:vAlign w:val="center"/>
          </w:tcPr>
          <w:p w14:paraId="7EF45F46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2275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281F6D7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43B26E6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F4EE704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公募基金投资</w:t>
            </w:r>
          </w:p>
        </w:tc>
        <w:tc>
          <w:tcPr>
            <w:tcW w:w="2914" w:type="dxa"/>
            <w:vAlign w:val="center"/>
          </w:tcPr>
          <w:p w14:paraId="23B830B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必填，本字段不小于QDII基金和货币基金投资之和</w:t>
            </w:r>
          </w:p>
        </w:tc>
      </w:tr>
      <w:tr w14:paraId="23AE9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91411D1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49E11C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F38E69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其中：QDII基金投资</w:t>
            </w:r>
          </w:p>
        </w:tc>
        <w:tc>
          <w:tcPr>
            <w:tcW w:w="2914" w:type="dxa"/>
            <w:vAlign w:val="center"/>
          </w:tcPr>
          <w:p w14:paraId="5BDD0748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1EFEB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4432BC5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350567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9271A7E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其中：货币基金</w:t>
            </w:r>
          </w:p>
        </w:tc>
        <w:tc>
          <w:tcPr>
            <w:tcW w:w="2914" w:type="dxa"/>
            <w:vAlign w:val="center"/>
          </w:tcPr>
          <w:p w14:paraId="73CA42D8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2388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F20073A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D960C57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AA0EF5D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从事期货业务所缴纳的保证金</w:t>
            </w:r>
          </w:p>
        </w:tc>
        <w:tc>
          <w:tcPr>
            <w:tcW w:w="2914" w:type="dxa"/>
            <w:vAlign w:val="center"/>
          </w:tcPr>
          <w:p w14:paraId="60442853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必填；从事期货业务所缴纳的保证金&gt;=商品期货占用保证金+国债期货占用保证金</w:t>
            </w:r>
          </w:p>
        </w:tc>
      </w:tr>
      <w:tr w14:paraId="10F01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3653DE0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DE9CB76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A15509A">
            <w:pPr>
              <w:jc w:val="center"/>
              <w:rPr>
                <w:rFonts w:hint="eastAsia" w:ascii="微软雅黑" w:hAnsi="微软雅黑" w:eastAsia="微软雅黑"/>
                <w:color w:val="FF0000"/>
                <w:sz w:val="20"/>
                <w:szCs w:val="20"/>
              </w:rPr>
            </w:pPr>
          </w:p>
        </w:tc>
        <w:tc>
          <w:tcPr>
            <w:tcW w:w="2914" w:type="dxa"/>
            <w:vAlign w:val="center"/>
          </w:tcPr>
          <w:p w14:paraId="658E5F9D">
            <w:pPr>
              <w:rPr>
                <w:rFonts w:hint="eastAsia" w:ascii="等线" w:hAnsi="等线" w:eastAsia="等线"/>
                <w:color w:val="FF0000"/>
                <w:sz w:val="22"/>
              </w:rPr>
            </w:pPr>
          </w:p>
        </w:tc>
      </w:tr>
      <w:tr w14:paraId="4D4E8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BE8D39F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9CD12D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0C6B16F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从事衍生品业务所缴纳的保证金（不含期货、期权）</w:t>
            </w:r>
          </w:p>
        </w:tc>
        <w:tc>
          <w:tcPr>
            <w:tcW w:w="2914" w:type="dxa"/>
            <w:vAlign w:val="center"/>
          </w:tcPr>
          <w:p w14:paraId="52E273E2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必填；从事衍生品业务所缴纳的的保证金&gt;=从事收益互换业务所缴纳的保证金</w:t>
            </w:r>
          </w:p>
        </w:tc>
      </w:tr>
      <w:tr w14:paraId="0091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3F8AA56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FCBD63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515DCFA">
            <w:pPr>
              <w:jc w:val="center"/>
              <w:rPr>
                <w:rFonts w:hint="eastAsia" w:ascii="微软雅黑" w:hAnsi="微软雅黑" w:eastAsia="微软雅黑"/>
                <w:color w:val="FF0000"/>
                <w:sz w:val="20"/>
                <w:szCs w:val="20"/>
              </w:rPr>
            </w:pPr>
          </w:p>
        </w:tc>
        <w:tc>
          <w:tcPr>
            <w:tcW w:w="2914" w:type="dxa"/>
            <w:vAlign w:val="center"/>
          </w:tcPr>
          <w:p w14:paraId="582F2320">
            <w:pPr>
              <w:rPr>
                <w:rFonts w:hint="eastAsia" w:ascii="等线" w:hAnsi="等线" w:eastAsia="等线"/>
                <w:color w:val="FF0000"/>
                <w:sz w:val="22"/>
              </w:rPr>
            </w:pPr>
          </w:p>
        </w:tc>
      </w:tr>
      <w:tr w14:paraId="23F77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0E0F2B6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122477F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FB28E26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衍生品合约价值（不含期货、期权）</w:t>
            </w:r>
          </w:p>
        </w:tc>
        <w:tc>
          <w:tcPr>
            <w:tcW w:w="2914" w:type="dxa"/>
            <w:vAlign w:val="center"/>
          </w:tcPr>
          <w:p w14:paraId="7A6386B6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FB1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0CA3C35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1416628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14AA1FD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买入各类期权缴纳的权利金（含场内场外）</w:t>
            </w:r>
          </w:p>
        </w:tc>
        <w:tc>
          <w:tcPr>
            <w:tcW w:w="2914" w:type="dxa"/>
            <w:vAlign w:val="center"/>
          </w:tcPr>
          <w:p w14:paraId="183E3AD3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必填，&gt;=0；买入各类期权缴纳的权利金=买入各类场内期权缴纳的权利金+买入各类场外期权缴纳的权利金</w:t>
            </w:r>
          </w:p>
        </w:tc>
      </w:tr>
      <w:tr w14:paraId="2770D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C868AE9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5067370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C692EEC">
            <w:pPr>
              <w:jc w:val="center"/>
              <w:rPr>
                <w:rFonts w:hint="eastAsia" w:ascii="微软雅黑" w:hAnsi="微软雅黑" w:eastAsia="微软雅黑"/>
                <w:color w:val="FF0000"/>
                <w:sz w:val="20"/>
                <w:szCs w:val="20"/>
              </w:rPr>
            </w:pPr>
          </w:p>
        </w:tc>
        <w:tc>
          <w:tcPr>
            <w:tcW w:w="2914" w:type="dxa"/>
            <w:vAlign w:val="center"/>
          </w:tcPr>
          <w:p w14:paraId="4C4842FF">
            <w:pPr>
              <w:rPr>
                <w:rFonts w:hint="eastAsia" w:ascii="等线" w:hAnsi="等线" w:eastAsia="等线"/>
                <w:color w:val="FF0000"/>
                <w:sz w:val="22"/>
              </w:rPr>
            </w:pPr>
          </w:p>
        </w:tc>
      </w:tr>
      <w:tr w14:paraId="2499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2AF621F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DD32B2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ECA9127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卖出各类期权缴纳的保证金（含场内场外）</w:t>
            </w:r>
          </w:p>
        </w:tc>
        <w:tc>
          <w:tcPr>
            <w:tcW w:w="2914" w:type="dxa"/>
            <w:vAlign w:val="center"/>
          </w:tcPr>
          <w:p w14:paraId="70A961E0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必填，&gt;=0；卖出各类期权缴纳的保证金=卖出各类场内期权所缴纳的保证金+卖出各类场外期权所缴纳的保证金。</w:t>
            </w:r>
          </w:p>
        </w:tc>
      </w:tr>
      <w:tr w14:paraId="156D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D97A06C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9FE969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405A9D3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期权合约价值</w:t>
            </w:r>
          </w:p>
        </w:tc>
        <w:tc>
          <w:tcPr>
            <w:tcW w:w="2914" w:type="dxa"/>
            <w:vAlign w:val="center"/>
          </w:tcPr>
          <w:p w14:paraId="4F85650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80C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93B88AE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CFB6385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D17E505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买入返售金融资产</w:t>
            </w:r>
          </w:p>
        </w:tc>
        <w:tc>
          <w:tcPr>
            <w:tcW w:w="2914" w:type="dxa"/>
            <w:vAlign w:val="center"/>
          </w:tcPr>
          <w:p w14:paraId="497A6C3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27D6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424151D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0F59F2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资管计划投资</w:t>
            </w:r>
          </w:p>
        </w:tc>
        <w:tc>
          <w:tcPr>
            <w:tcW w:w="2693" w:type="dxa"/>
            <w:vAlign w:val="center"/>
          </w:tcPr>
          <w:p w14:paraId="130E22D8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商业银行理财产品投资</w:t>
            </w:r>
          </w:p>
        </w:tc>
        <w:tc>
          <w:tcPr>
            <w:tcW w:w="2914" w:type="dxa"/>
            <w:vAlign w:val="center"/>
          </w:tcPr>
          <w:p w14:paraId="480A159F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6ECF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59A19E3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2BEF165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2693B83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信托计划投资</w:t>
            </w:r>
          </w:p>
        </w:tc>
        <w:tc>
          <w:tcPr>
            <w:tcW w:w="2914" w:type="dxa"/>
            <w:vAlign w:val="center"/>
          </w:tcPr>
          <w:p w14:paraId="09D328A4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6273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43F33BB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F907C7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55D62FD">
            <w:pPr>
              <w:jc w:val="left"/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基金公司及其子公司资产管理计划投资</w:t>
            </w:r>
          </w:p>
        </w:tc>
        <w:tc>
          <w:tcPr>
            <w:tcW w:w="2914" w:type="dxa"/>
            <w:vAlign w:val="center"/>
          </w:tcPr>
          <w:p w14:paraId="7350B49E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497E3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471DE85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CF779A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976AC55">
            <w:pPr>
              <w:rPr>
                <w:rFonts w:hint="eastAsia"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保险资产管理计划投资</w:t>
            </w:r>
          </w:p>
        </w:tc>
        <w:tc>
          <w:tcPr>
            <w:tcW w:w="2914" w:type="dxa"/>
            <w:vAlign w:val="center"/>
          </w:tcPr>
          <w:p w14:paraId="5C8B49A7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269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9E637A4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267031A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170001F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证券公司及其子公司资产管理计划投资</w:t>
            </w:r>
          </w:p>
        </w:tc>
        <w:tc>
          <w:tcPr>
            <w:tcW w:w="2914" w:type="dxa"/>
            <w:vAlign w:val="center"/>
          </w:tcPr>
          <w:p w14:paraId="0EAF5866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0D98E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015CAD1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EE6335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84C942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期货公司及其子公司资产管理计划投资</w:t>
            </w:r>
          </w:p>
        </w:tc>
        <w:tc>
          <w:tcPr>
            <w:tcW w:w="2914" w:type="dxa"/>
            <w:vAlign w:val="center"/>
          </w:tcPr>
          <w:p w14:paraId="521F79AF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6332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8C75F8D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2229B5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34B6FFD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私募基金产品投资</w:t>
            </w:r>
          </w:p>
        </w:tc>
        <w:tc>
          <w:tcPr>
            <w:tcW w:w="2914" w:type="dxa"/>
            <w:vAlign w:val="center"/>
          </w:tcPr>
          <w:p w14:paraId="31167373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1388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CF957B4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2D51E7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现金类资产</w:t>
            </w:r>
          </w:p>
        </w:tc>
        <w:tc>
          <w:tcPr>
            <w:tcW w:w="2693" w:type="dxa"/>
            <w:vAlign w:val="center"/>
          </w:tcPr>
          <w:p w14:paraId="2F994D97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银行存款</w:t>
            </w:r>
          </w:p>
        </w:tc>
        <w:tc>
          <w:tcPr>
            <w:tcW w:w="2914" w:type="dxa"/>
            <w:vAlign w:val="center"/>
          </w:tcPr>
          <w:p w14:paraId="243B56E1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730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3D4F51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B360E7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EAE23F9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结算备付金</w:t>
            </w:r>
          </w:p>
        </w:tc>
        <w:tc>
          <w:tcPr>
            <w:tcW w:w="2914" w:type="dxa"/>
            <w:vAlign w:val="center"/>
          </w:tcPr>
          <w:p w14:paraId="72A02680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0ED41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E7E2F87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189FA16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5276D53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其他现金类资产</w:t>
            </w:r>
          </w:p>
        </w:tc>
        <w:tc>
          <w:tcPr>
            <w:tcW w:w="2914" w:type="dxa"/>
            <w:vAlign w:val="center"/>
          </w:tcPr>
          <w:p w14:paraId="5FD2BD2A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00260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374B750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63994CC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涉外投资</w:t>
            </w:r>
          </w:p>
        </w:tc>
        <w:tc>
          <w:tcPr>
            <w:tcW w:w="2693" w:type="dxa"/>
            <w:vAlign w:val="center"/>
          </w:tcPr>
          <w:p w14:paraId="2C2FE405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通过港股通投资金额</w:t>
            </w:r>
          </w:p>
        </w:tc>
        <w:tc>
          <w:tcPr>
            <w:tcW w:w="2914" w:type="dxa"/>
            <w:vAlign w:val="center"/>
          </w:tcPr>
          <w:p w14:paraId="3BEE54E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090D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F6DA58A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9B61FD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D1D142B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其他境外投资</w:t>
            </w:r>
          </w:p>
        </w:tc>
        <w:tc>
          <w:tcPr>
            <w:tcW w:w="2914" w:type="dxa"/>
            <w:vAlign w:val="center"/>
          </w:tcPr>
          <w:p w14:paraId="29016A8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54EF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707DF44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D11BA44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其他资产</w:t>
            </w:r>
          </w:p>
        </w:tc>
        <w:tc>
          <w:tcPr>
            <w:tcW w:w="2693" w:type="dxa"/>
            <w:vAlign w:val="center"/>
          </w:tcPr>
          <w:p w14:paraId="1E0F31F9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新三板挂牌企业投资</w:t>
            </w:r>
          </w:p>
        </w:tc>
        <w:tc>
          <w:tcPr>
            <w:tcW w:w="2914" w:type="dxa"/>
            <w:vAlign w:val="center"/>
          </w:tcPr>
          <w:p w14:paraId="5192ED28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2E5B1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55A51B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DE539A0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59E6D1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应收申购款</w:t>
            </w:r>
          </w:p>
        </w:tc>
        <w:tc>
          <w:tcPr>
            <w:tcW w:w="2914" w:type="dxa"/>
            <w:vAlign w:val="center"/>
          </w:tcPr>
          <w:p w14:paraId="2EF3669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45169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2655737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FDF4FE8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DC2A0CF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应收未收款</w:t>
            </w:r>
          </w:p>
        </w:tc>
        <w:tc>
          <w:tcPr>
            <w:tcW w:w="2914" w:type="dxa"/>
            <w:vAlign w:val="center"/>
          </w:tcPr>
          <w:p w14:paraId="5C9705FE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2EB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ACEA917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5BF4BC4C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C5736E9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其他资产</w:t>
            </w:r>
          </w:p>
        </w:tc>
        <w:tc>
          <w:tcPr>
            <w:tcW w:w="2914" w:type="dxa"/>
            <w:vAlign w:val="center"/>
          </w:tcPr>
          <w:p w14:paraId="7E0FEC4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243C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DECA26B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2A76AA5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基金负债</w:t>
            </w:r>
          </w:p>
        </w:tc>
        <w:tc>
          <w:tcPr>
            <w:tcW w:w="2693" w:type="dxa"/>
            <w:vAlign w:val="center"/>
          </w:tcPr>
          <w:p w14:paraId="31F71F41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从事衍生品业务收到的保证金（不含期货、期权）</w:t>
            </w:r>
          </w:p>
        </w:tc>
        <w:tc>
          <w:tcPr>
            <w:tcW w:w="2914" w:type="dxa"/>
            <w:vAlign w:val="center"/>
          </w:tcPr>
          <w:p w14:paraId="7E4AC6EA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必填；从事衍生品交易收到的保证金&gt;=从事收益互换业务收到的保证金</w:t>
            </w:r>
          </w:p>
        </w:tc>
      </w:tr>
      <w:tr w14:paraId="7F0D9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C12B03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162ABF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DA0D58D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卖出各类期权收取的权利金（含场内场外）</w:t>
            </w:r>
          </w:p>
        </w:tc>
        <w:tc>
          <w:tcPr>
            <w:tcW w:w="2914" w:type="dxa"/>
            <w:vAlign w:val="center"/>
          </w:tcPr>
          <w:p w14:paraId="58128F96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必填，&gt;=0；卖出各类期权所收取的权利金=卖出各类场内期权所收取的权利金+卖出各类场外期权所收取的权利金</w:t>
            </w:r>
          </w:p>
        </w:tc>
      </w:tr>
      <w:tr w14:paraId="1A98A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96F0717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671C64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87A796B">
            <w:pPr>
              <w:jc w:val="center"/>
              <w:rPr>
                <w:rFonts w:hint="eastAsia"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债券回购总额</w:t>
            </w:r>
          </w:p>
        </w:tc>
        <w:tc>
          <w:tcPr>
            <w:tcW w:w="2914" w:type="dxa"/>
            <w:vAlign w:val="center"/>
          </w:tcPr>
          <w:p w14:paraId="588EAD58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50793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CF75BAE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0E5844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B44CF4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融资余额</w:t>
            </w:r>
          </w:p>
        </w:tc>
        <w:tc>
          <w:tcPr>
            <w:tcW w:w="2914" w:type="dxa"/>
            <w:vAlign w:val="center"/>
          </w:tcPr>
          <w:p w14:paraId="5C2D840F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246B0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161855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3BADD96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4BEDABF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融券余额</w:t>
            </w:r>
          </w:p>
        </w:tc>
        <w:tc>
          <w:tcPr>
            <w:tcW w:w="2914" w:type="dxa"/>
            <w:vAlign w:val="center"/>
          </w:tcPr>
          <w:p w14:paraId="3748640E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55C85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3CE9ADD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4A8C35C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3DEFB1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已计提但未支付的基金运作费用</w:t>
            </w:r>
          </w:p>
        </w:tc>
        <w:tc>
          <w:tcPr>
            <w:tcW w:w="2914" w:type="dxa"/>
            <w:vAlign w:val="center"/>
          </w:tcPr>
          <w:p w14:paraId="0879C4C9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5F37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6E278E4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B08B46D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E8C6987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已计提但未支付的分红</w:t>
            </w:r>
          </w:p>
        </w:tc>
        <w:tc>
          <w:tcPr>
            <w:tcW w:w="2914" w:type="dxa"/>
            <w:vAlign w:val="center"/>
          </w:tcPr>
          <w:p w14:paraId="67EB941D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04A9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031B63E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6FEBEC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F35302F">
            <w:pPr>
              <w:jc w:val="left"/>
              <w:rPr>
                <w:rFonts w:hint="eastAsia"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应付赎回款</w:t>
            </w:r>
          </w:p>
        </w:tc>
        <w:tc>
          <w:tcPr>
            <w:tcW w:w="2914" w:type="dxa"/>
            <w:vAlign w:val="center"/>
          </w:tcPr>
          <w:p w14:paraId="5D54DA3A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44B3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B53445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3FDA32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1CC015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应付未付款</w:t>
            </w:r>
          </w:p>
        </w:tc>
        <w:tc>
          <w:tcPr>
            <w:tcW w:w="2914" w:type="dxa"/>
            <w:vAlign w:val="center"/>
          </w:tcPr>
          <w:p w14:paraId="00C20E01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149ED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7D176DC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F7FFB5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AD65583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其他负债</w:t>
            </w:r>
          </w:p>
        </w:tc>
        <w:tc>
          <w:tcPr>
            <w:tcW w:w="2914" w:type="dxa"/>
            <w:vAlign w:val="center"/>
          </w:tcPr>
          <w:p w14:paraId="526C79F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32EB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73088C98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场内期货、期权投资情况</w:t>
            </w:r>
          </w:p>
        </w:tc>
        <w:tc>
          <w:tcPr>
            <w:tcW w:w="1418" w:type="dxa"/>
            <w:vMerge w:val="restart"/>
            <w:vAlign w:val="center"/>
          </w:tcPr>
          <w:p w14:paraId="6E3D3D57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场内期货投资信息</w:t>
            </w:r>
          </w:p>
        </w:tc>
        <w:tc>
          <w:tcPr>
            <w:tcW w:w="2693" w:type="dxa"/>
            <w:vAlign w:val="center"/>
          </w:tcPr>
          <w:p w14:paraId="593CA000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股指期货占用保证金</w:t>
            </w:r>
          </w:p>
        </w:tc>
        <w:tc>
          <w:tcPr>
            <w:tcW w:w="2914" w:type="dxa"/>
            <w:vAlign w:val="center"/>
          </w:tcPr>
          <w:p w14:paraId="259A2C3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50A8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8F313B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17F2CC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9C13797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股指期货合约价值</w:t>
            </w:r>
          </w:p>
        </w:tc>
        <w:tc>
          <w:tcPr>
            <w:tcW w:w="2914" w:type="dxa"/>
            <w:vAlign w:val="center"/>
          </w:tcPr>
          <w:p w14:paraId="64924E6E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569E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CDDAE50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B241B26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FC69EFC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商品期货占用保证金</w:t>
            </w:r>
          </w:p>
        </w:tc>
        <w:tc>
          <w:tcPr>
            <w:tcW w:w="2914" w:type="dxa"/>
            <w:vAlign w:val="center"/>
          </w:tcPr>
          <w:p w14:paraId="788BD880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1FF4F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B4D611A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01972E7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3DE6D22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商品期货合约价值</w:t>
            </w:r>
          </w:p>
        </w:tc>
        <w:tc>
          <w:tcPr>
            <w:tcW w:w="2914" w:type="dxa"/>
            <w:vAlign w:val="center"/>
          </w:tcPr>
          <w:p w14:paraId="1EE8BD7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2781C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5356C45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A01896A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CBC2DEB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国债期货占用保证金</w:t>
            </w:r>
          </w:p>
        </w:tc>
        <w:tc>
          <w:tcPr>
            <w:tcW w:w="2914" w:type="dxa"/>
            <w:vAlign w:val="center"/>
          </w:tcPr>
          <w:p w14:paraId="70BA0D7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AAAB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585B8B6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AD9D12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9BFC466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国债期货合约价值</w:t>
            </w:r>
          </w:p>
        </w:tc>
        <w:tc>
          <w:tcPr>
            <w:tcW w:w="2914" w:type="dxa"/>
            <w:vAlign w:val="center"/>
          </w:tcPr>
          <w:p w14:paraId="4B1B315A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169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7FA31CD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D9FDB83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场内期权投资信息</w:t>
            </w:r>
          </w:p>
        </w:tc>
        <w:tc>
          <w:tcPr>
            <w:tcW w:w="2693" w:type="dxa"/>
            <w:vAlign w:val="center"/>
          </w:tcPr>
          <w:p w14:paraId="4DD9456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买入各类场内期权缴纳的权利金</w:t>
            </w:r>
          </w:p>
        </w:tc>
        <w:tc>
          <w:tcPr>
            <w:tcW w:w="2914" w:type="dxa"/>
            <w:vAlign w:val="center"/>
          </w:tcPr>
          <w:p w14:paraId="22D1DED3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74F34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C32BE3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A4FEA9C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5BB574A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卖出各类场内期权所收取的权利金</w:t>
            </w:r>
          </w:p>
        </w:tc>
        <w:tc>
          <w:tcPr>
            <w:tcW w:w="2914" w:type="dxa"/>
            <w:vAlign w:val="center"/>
          </w:tcPr>
          <w:p w14:paraId="3CB3480D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0AA6B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39C44D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C2D0EA5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E4EE0DE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卖出各类场内期权缴纳的保证金</w:t>
            </w:r>
          </w:p>
        </w:tc>
        <w:tc>
          <w:tcPr>
            <w:tcW w:w="2914" w:type="dxa"/>
            <w:vAlign w:val="center"/>
          </w:tcPr>
          <w:p w14:paraId="7BFF3195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0C1F2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ECF637A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5A9817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6CE4AD9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场内期权所承担的净风险敞口</w:t>
            </w:r>
          </w:p>
        </w:tc>
        <w:tc>
          <w:tcPr>
            <w:tcW w:w="2914" w:type="dxa"/>
            <w:vAlign w:val="center"/>
          </w:tcPr>
          <w:p w14:paraId="0276D64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560C8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BB8974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5C0CAD20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86C8EB9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各类场内期权合约价值</w:t>
            </w:r>
          </w:p>
        </w:tc>
        <w:tc>
          <w:tcPr>
            <w:tcW w:w="2914" w:type="dxa"/>
            <w:vAlign w:val="center"/>
          </w:tcPr>
          <w:p w14:paraId="021C71EE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3E9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615B4069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场外投资情况</w:t>
            </w:r>
          </w:p>
        </w:tc>
        <w:tc>
          <w:tcPr>
            <w:tcW w:w="1418" w:type="dxa"/>
            <w:vMerge w:val="restart"/>
            <w:vAlign w:val="center"/>
          </w:tcPr>
          <w:p w14:paraId="32E872FC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场外衍生品投资情况</w:t>
            </w:r>
          </w:p>
        </w:tc>
        <w:tc>
          <w:tcPr>
            <w:tcW w:w="2693" w:type="dxa"/>
            <w:vAlign w:val="center"/>
          </w:tcPr>
          <w:p w14:paraId="6FA6DF2C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从事收益互换业务所缴纳的保证金</w:t>
            </w:r>
          </w:p>
        </w:tc>
        <w:tc>
          <w:tcPr>
            <w:tcW w:w="2914" w:type="dxa"/>
            <w:vAlign w:val="center"/>
          </w:tcPr>
          <w:p w14:paraId="14B4B4AD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23B5C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1E77F72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630C8E4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2C49743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从事收益互换业务收到的保证金</w:t>
            </w:r>
          </w:p>
        </w:tc>
        <w:tc>
          <w:tcPr>
            <w:tcW w:w="2914" w:type="dxa"/>
            <w:vAlign w:val="center"/>
          </w:tcPr>
          <w:p w14:paraId="20CFC9E4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2C3F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8D0F00A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7468B6F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8FFFDB7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收益互换净风险敞口</w:t>
            </w:r>
          </w:p>
        </w:tc>
        <w:tc>
          <w:tcPr>
            <w:tcW w:w="2914" w:type="dxa"/>
            <w:vAlign w:val="center"/>
          </w:tcPr>
          <w:p w14:paraId="6ACEB117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5EB8C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D15BE80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5A4FB43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1A0557C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收益互换合约价值</w:t>
            </w:r>
          </w:p>
        </w:tc>
        <w:tc>
          <w:tcPr>
            <w:tcW w:w="2914" w:type="dxa"/>
            <w:vAlign w:val="center"/>
          </w:tcPr>
          <w:p w14:paraId="67391621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1CB7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18217E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A73E5C3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A38441F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买入各类场外期权缴纳的权利金</w:t>
            </w:r>
          </w:p>
        </w:tc>
        <w:tc>
          <w:tcPr>
            <w:tcW w:w="2914" w:type="dxa"/>
            <w:vAlign w:val="center"/>
          </w:tcPr>
          <w:p w14:paraId="5FDAE65E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7220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C7479A6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7A06DA7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5E0D3EC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卖出各类场外期权所收取的权利金</w:t>
            </w:r>
          </w:p>
        </w:tc>
        <w:tc>
          <w:tcPr>
            <w:tcW w:w="2914" w:type="dxa"/>
            <w:vAlign w:val="center"/>
          </w:tcPr>
          <w:p w14:paraId="4DDA9C30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1079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B0E6210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DA105D2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AAF0813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卖出各类场外期权缴纳的保证金</w:t>
            </w:r>
          </w:p>
        </w:tc>
        <w:tc>
          <w:tcPr>
            <w:tcW w:w="2914" w:type="dxa"/>
            <w:vAlign w:val="center"/>
          </w:tcPr>
          <w:p w14:paraId="1C59BB1D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0A200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9F8A1C5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C8CC883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1368756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各类场外期权净风险敞口</w:t>
            </w:r>
          </w:p>
        </w:tc>
        <w:tc>
          <w:tcPr>
            <w:tcW w:w="2914" w:type="dxa"/>
            <w:vAlign w:val="center"/>
          </w:tcPr>
          <w:p w14:paraId="129A365B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1E9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19BC629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85401C1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446BC86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各类场外期权合约价值</w:t>
            </w:r>
          </w:p>
        </w:tc>
        <w:tc>
          <w:tcPr>
            <w:tcW w:w="2914" w:type="dxa"/>
            <w:vAlign w:val="center"/>
          </w:tcPr>
          <w:p w14:paraId="32481CF7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688EB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0A3C161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B45919B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334F3D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保本型券商收益凭证投资金额</w:t>
            </w:r>
          </w:p>
        </w:tc>
        <w:tc>
          <w:tcPr>
            <w:tcW w:w="2914" w:type="dxa"/>
            <w:vAlign w:val="center"/>
          </w:tcPr>
          <w:p w14:paraId="0412F260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3F4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7F0A182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CF77A8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ED2C1D7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非保本型券商收益凭证投资金额</w:t>
            </w:r>
          </w:p>
        </w:tc>
        <w:tc>
          <w:tcPr>
            <w:tcW w:w="2914" w:type="dxa"/>
            <w:vAlign w:val="center"/>
          </w:tcPr>
          <w:p w14:paraId="1EADA57A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72C3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BC397ED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C07E648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E87F72C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非保本型券商收益凭证净风险敞口</w:t>
            </w:r>
          </w:p>
        </w:tc>
        <w:tc>
          <w:tcPr>
            <w:tcW w:w="2914" w:type="dxa"/>
            <w:vAlign w:val="center"/>
          </w:tcPr>
          <w:p w14:paraId="7AE2D585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5C3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16BABE4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B098ED2">
            <w:pPr>
              <w:jc w:val="center"/>
              <w:rPr>
                <w:rFonts w:ascii="微软雅黑" w:hAnsi="微软雅黑" w:eastAsia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BF76CCB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第一大场外衍生品交易对手方名称</w:t>
            </w:r>
          </w:p>
        </w:tc>
        <w:tc>
          <w:tcPr>
            <w:tcW w:w="2914" w:type="dxa"/>
            <w:vAlign w:val="center"/>
          </w:tcPr>
          <w:p w14:paraId="42AF25D7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从事收益互换业务所缴纳的保证金+从事收益互换业务收到的保证金+买入各类场外期权缴纳的权利金+卖出各类场外期权所收取的权利金+保本型券商收益凭证投资金额+非保本型券商收益凭证投资金额&gt;0,必填</w:t>
            </w:r>
          </w:p>
        </w:tc>
      </w:tr>
      <w:tr w14:paraId="35C6E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3AAB5FBA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运作信息</w:t>
            </w:r>
          </w:p>
        </w:tc>
        <w:tc>
          <w:tcPr>
            <w:tcW w:w="1418" w:type="dxa"/>
            <w:vMerge w:val="restart"/>
            <w:vAlign w:val="center"/>
          </w:tcPr>
          <w:p w14:paraId="7435FC00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基金净值情况</w:t>
            </w:r>
          </w:p>
        </w:tc>
        <w:tc>
          <w:tcPr>
            <w:tcW w:w="2693" w:type="dxa"/>
            <w:vAlign w:val="center"/>
          </w:tcPr>
          <w:p w14:paraId="45920B29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基金单位净值</w:t>
            </w:r>
          </w:p>
        </w:tc>
        <w:tc>
          <w:tcPr>
            <w:tcW w:w="2914" w:type="dxa"/>
            <w:vAlign w:val="center"/>
          </w:tcPr>
          <w:p w14:paraId="5F6892A4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05131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EDB3A92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682733F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215115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基金累计单位净值</w:t>
            </w:r>
          </w:p>
        </w:tc>
        <w:tc>
          <w:tcPr>
            <w:tcW w:w="2914" w:type="dxa"/>
            <w:vAlign w:val="center"/>
          </w:tcPr>
          <w:p w14:paraId="52285CFC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2D9A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B9ADE76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3A7ACE9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预警止损线情况</w:t>
            </w:r>
          </w:p>
        </w:tc>
        <w:tc>
          <w:tcPr>
            <w:tcW w:w="2693" w:type="dxa"/>
            <w:vAlign w:val="center"/>
          </w:tcPr>
          <w:p w14:paraId="26E8F6C4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是否设置预警线</w:t>
            </w:r>
          </w:p>
        </w:tc>
        <w:tc>
          <w:tcPr>
            <w:tcW w:w="2914" w:type="dxa"/>
            <w:vAlign w:val="center"/>
          </w:tcPr>
          <w:p w14:paraId="146863CC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必填</w:t>
            </w:r>
          </w:p>
        </w:tc>
      </w:tr>
      <w:tr w14:paraId="4E8A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A2AEA5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C7D81DD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0D0E9F8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预警线</w:t>
            </w:r>
          </w:p>
        </w:tc>
        <w:tc>
          <w:tcPr>
            <w:tcW w:w="2914" w:type="dxa"/>
            <w:vAlign w:val="center"/>
          </w:tcPr>
          <w:p w14:paraId="5F491313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是否设置预警线为“是”,必填，为否，必不填。不要求必须是数值。</w:t>
            </w:r>
          </w:p>
        </w:tc>
      </w:tr>
      <w:tr w14:paraId="09F5F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9BE2A5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03A876C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4CE1C2A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当前基金单位净值是否触及预警线</w:t>
            </w:r>
          </w:p>
        </w:tc>
        <w:tc>
          <w:tcPr>
            <w:tcW w:w="2914" w:type="dxa"/>
            <w:vAlign w:val="center"/>
          </w:tcPr>
          <w:p w14:paraId="6FAB8C79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是否设置预警线为“是”,必填，为否，必不填</w:t>
            </w:r>
          </w:p>
        </w:tc>
      </w:tr>
      <w:tr w14:paraId="731D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62E2A6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6F77DB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8358545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触及预警线时间</w:t>
            </w:r>
          </w:p>
        </w:tc>
        <w:tc>
          <w:tcPr>
            <w:tcW w:w="2914" w:type="dxa"/>
            <w:vAlign w:val="center"/>
          </w:tcPr>
          <w:p w14:paraId="4196C8ED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是否设置预警线为“是”,必填，为否，必不填</w:t>
            </w:r>
          </w:p>
        </w:tc>
      </w:tr>
      <w:tr w14:paraId="6410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897016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090914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579798E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是否设置止损线</w:t>
            </w:r>
          </w:p>
        </w:tc>
        <w:tc>
          <w:tcPr>
            <w:tcW w:w="2914" w:type="dxa"/>
            <w:vAlign w:val="center"/>
          </w:tcPr>
          <w:p w14:paraId="72FFD3DF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必填</w:t>
            </w:r>
          </w:p>
        </w:tc>
      </w:tr>
      <w:tr w14:paraId="0F5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AB702DC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B1303CE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C1CC4C8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止损线</w:t>
            </w:r>
          </w:p>
        </w:tc>
        <w:tc>
          <w:tcPr>
            <w:tcW w:w="2914" w:type="dxa"/>
            <w:vAlign w:val="center"/>
          </w:tcPr>
          <w:p w14:paraId="336BEDB2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是否设置止损线为“是”,必填，为否，必不填。不要求必须是数值。</w:t>
            </w:r>
          </w:p>
        </w:tc>
      </w:tr>
      <w:tr w14:paraId="33859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914144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B90871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91FD7C9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当前基金单位净值是否触及止损线</w:t>
            </w:r>
          </w:p>
        </w:tc>
        <w:tc>
          <w:tcPr>
            <w:tcW w:w="2914" w:type="dxa"/>
            <w:vAlign w:val="center"/>
          </w:tcPr>
          <w:p w14:paraId="16C0E15A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是否设置止损线为“是”,必填，为否，必不填</w:t>
            </w:r>
          </w:p>
        </w:tc>
      </w:tr>
      <w:tr w14:paraId="531A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C2DECE8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E53EB24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3863E9C">
            <w:pPr>
              <w:jc w:val="center"/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0"/>
              </w:rPr>
              <w:t>触及止损线时间</w:t>
            </w:r>
          </w:p>
        </w:tc>
        <w:tc>
          <w:tcPr>
            <w:tcW w:w="2914" w:type="dxa"/>
            <w:vAlign w:val="center"/>
          </w:tcPr>
          <w:p w14:paraId="7C3DE934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是否设置止损线为“是”,必填，为否，必不填</w:t>
            </w:r>
          </w:p>
        </w:tc>
      </w:tr>
      <w:tr w14:paraId="5377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3B95D42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53F4FEA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收益率及回撤情况</w:t>
            </w:r>
          </w:p>
        </w:tc>
        <w:tc>
          <w:tcPr>
            <w:tcW w:w="2693" w:type="dxa"/>
            <w:vAlign w:val="center"/>
          </w:tcPr>
          <w:p w14:paraId="746E50D8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当期基金收益率</w:t>
            </w:r>
          </w:p>
        </w:tc>
        <w:tc>
          <w:tcPr>
            <w:tcW w:w="2914" w:type="dxa"/>
            <w:vAlign w:val="center"/>
          </w:tcPr>
          <w:p w14:paraId="0BE1F8FE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082B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3B3709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46B31A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02919CF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本年基金收益率</w:t>
            </w:r>
          </w:p>
        </w:tc>
        <w:tc>
          <w:tcPr>
            <w:tcW w:w="2914" w:type="dxa"/>
            <w:vAlign w:val="center"/>
          </w:tcPr>
          <w:p w14:paraId="500CBAF9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1080B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273061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D828C8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79CEBEA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成立以来基金收益率</w:t>
            </w:r>
          </w:p>
        </w:tc>
        <w:tc>
          <w:tcPr>
            <w:tcW w:w="2914" w:type="dxa"/>
            <w:vAlign w:val="center"/>
          </w:tcPr>
          <w:p w14:paraId="7A9E19C0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415CF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C440DBD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BE95503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A78C0C1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当期净值最大回撤</w:t>
            </w:r>
          </w:p>
        </w:tc>
        <w:tc>
          <w:tcPr>
            <w:tcW w:w="2914" w:type="dxa"/>
            <w:vAlign w:val="center"/>
          </w:tcPr>
          <w:p w14:paraId="505355C8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068DD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839212B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DB5B3EA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04520A7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本年基金最大回撤</w:t>
            </w:r>
          </w:p>
        </w:tc>
        <w:tc>
          <w:tcPr>
            <w:tcW w:w="2914" w:type="dxa"/>
            <w:vAlign w:val="center"/>
          </w:tcPr>
          <w:p w14:paraId="343E5F08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4B641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364ABD8C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申赎情况</w:t>
            </w:r>
          </w:p>
        </w:tc>
        <w:tc>
          <w:tcPr>
            <w:tcW w:w="1418" w:type="dxa"/>
            <w:vMerge w:val="restart"/>
            <w:vAlign w:val="center"/>
          </w:tcPr>
          <w:p w14:paraId="013EE910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申赎信息</w:t>
            </w:r>
          </w:p>
        </w:tc>
        <w:tc>
          <w:tcPr>
            <w:tcW w:w="2693" w:type="dxa"/>
            <w:vAlign w:val="center"/>
          </w:tcPr>
          <w:p w14:paraId="452EF65D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当期申购总金额</w:t>
            </w:r>
          </w:p>
        </w:tc>
        <w:tc>
          <w:tcPr>
            <w:tcW w:w="2914" w:type="dxa"/>
            <w:vAlign w:val="center"/>
          </w:tcPr>
          <w:p w14:paraId="1388DFEF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37454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ABAD15C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4F6FECA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C41C52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当期赎回总金额</w:t>
            </w:r>
          </w:p>
        </w:tc>
        <w:tc>
          <w:tcPr>
            <w:tcW w:w="2914" w:type="dxa"/>
            <w:vAlign w:val="center"/>
          </w:tcPr>
          <w:p w14:paraId="635AD06A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4DCA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9A41C20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F23D10A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巨额赎回信息</w:t>
            </w:r>
          </w:p>
        </w:tc>
        <w:tc>
          <w:tcPr>
            <w:tcW w:w="2693" w:type="dxa"/>
            <w:vAlign w:val="center"/>
          </w:tcPr>
          <w:p w14:paraId="7AA4FED6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当期发生巨额赎回次数</w:t>
            </w:r>
          </w:p>
        </w:tc>
        <w:tc>
          <w:tcPr>
            <w:tcW w:w="2914" w:type="dxa"/>
            <w:vAlign w:val="center"/>
          </w:tcPr>
          <w:p w14:paraId="4C652196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026D4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1B4A7E9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A3F9AF1">
            <w:pPr>
              <w:jc w:val="center"/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33DBC01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巨额赎回情况说明</w:t>
            </w:r>
          </w:p>
        </w:tc>
        <w:tc>
          <w:tcPr>
            <w:tcW w:w="2914" w:type="dxa"/>
            <w:vAlign w:val="center"/>
          </w:tcPr>
          <w:p w14:paraId="0A612169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当期发生巨额赎回次数&gt;0,必填，为0，必不填</w:t>
            </w:r>
          </w:p>
        </w:tc>
      </w:tr>
      <w:tr w14:paraId="4F27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2FCBDDB8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其他情况</w:t>
            </w:r>
          </w:p>
        </w:tc>
        <w:tc>
          <w:tcPr>
            <w:tcW w:w="1418" w:type="dxa"/>
            <w:vMerge w:val="restart"/>
            <w:vAlign w:val="center"/>
          </w:tcPr>
          <w:p w14:paraId="58E613A5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其他信息</w:t>
            </w:r>
          </w:p>
        </w:tc>
        <w:tc>
          <w:tcPr>
            <w:tcW w:w="2693" w:type="dxa"/>
            <w:vAlign w:val="center"/>
          </w:tcPr>
          <w:p w14:paraId="131E1E7C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当期分红金额</w:t>
            </w:r>
          </w:p>
        </w:tc>
        <w:tc>
          <w:tcPr>
            <w:tcW w:w="2914" w:type="dxa"/>
            <w:vAlign w:val="center"/>
          </w:tcPr>
          <w:p w14:paraId="61004A24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必填，&gt;=0</w:t>
            </w:r>
          </w:p>
        </w:tc>
      </w:tr>
      <w:tr w14:paraId="5A9DE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2105FE7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3A8B481A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3F1A613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当期是否计提业绩报酬</w:t>
            </w:r>
          </w:p>
        </w:tc>
        <w:tc>
          <w:tcPr>
            <w:tcW w:w="2914" w:type="dxa"/>
            <w:vAlign w:val="center"/>
          </w:tcPr>
          <w:p w14:paraId="43300B79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39AC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E4E7F17">
            <w:pPr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5D682F3">
            <w:pPr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F8D9892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基金是否处于清算过程中</w:t>
            </w:r>
          </w:p>
        </w:tc>
        <w:tc>
          <w:tcPr>
            <w:tcW w:w="2914" w:type="dxa"/>
            <w:vAlign w:val="center"/>
          </w:tcPr>
          <w:p w14:paraId="16DC2AB9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必填</w:t>
            </w:r>
          </w:p>
        </w:tc>
      </w:tr>
      <w:tr w14:paraId="1A664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48E4973">
            <w:pPr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5E7C7E52">
            <w:pPr>
              <w:rPr>
                <w:rFonts w:ascii="微软雅黑" w:hAnsi="微软雅黑" w:eastAsia="微软雅黑" w:cs="宋体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8171B25">
            <w:pPr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备注</w:t>
            </w:r>
          </w:p>
        </w:tc>
        <w:tc>
          <w:tcPr>
            <w:tcW w:w="2914" w:type="dxa"/>
            <w:vAlign w:val="center"/>
          </w:tcPr>
          <w:p w14:paraId="3A747151">
            <w:pPr>
              <w:rPr>
                <w:rFonts w:hint="eastAsia" w:ascii="等线" w:hAnsi="等线" w:eastAsia="等线"/>
                <w:sz w:val="22"/>
              </w:rPr>
            </w:pPr>
            <w:r>
              <w:rPr>
                <w:rFonts w:hint="eastAsia" w:ascii="等线" w:hAnsi="等线" w:eastAsia="等线"/>
                <w:sz w:val="22"/>
              </w:rPr>
              <w:t>　</w:t>
            </w:r>
          </w:p>
        </w:tc>
      </w:tr>
    </w:tbl>
    <w:p w14:paraId="2CA01BC7"/>
    <w:p w14:paraId="7ED7F64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E51360"/>
    <w:multiLevelType w:val="multilevel"/>
    <w:tmpl w:val="03E51360"/>
    <w:lvl w:ilvl="0" w:tentative="0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0OGFmZDBjMGNiZDIxM2E4MGM4NzllN2RmOWFkYWIifQ=="/>
  </w:docVars>
  <w:rsids>
    <w:rsidRoot w:val="00854E76"/>
    <w:rsid w:val="000109C3"/>
    <w:rsid w:val="000275F4"/>
    <w:rsid w:val="0002799E"/>
    <w:rsid w:val="000728D5"/>
    <w:rsid w:val="00093EBD"/>
    <w:rsid w:val="00096E25"/>
    <w:rsid w:val="000E0E41"/>
    <w:rsid w:val="000F7EC4"/>
    <w:rsid w:val="00115156"/>
    <w:rsid w:val="00151B36"/>
    <w:rsid w:val="00185A11"/>
    <w:rsid w:val="001A2E91"/>
    <w:rsid w:val="001B221D"/>
    <w:rsid w:val="001B3D55"/>
    <w:rsid w:val="001C68B5"/>
    <w:rsid w:val="001F6F07"/>
    <w:rsid w:val="00224A6B"/>
    <w:rsid w:val="00294694"/>
    <w:rsid w:val="00297F37"/>
    <w:rsid w:val="002D7DD8"/>
    <w:rsid w:val="002E0F5D"/>
    <w:rsid w:val="002F33EE"/>
    <w:rsid w:val="002F3874"/>
    <w:rsid w:val="00337B96"/>
    <w:rsid w:val="0037011D"/>
    <w:rsid w:val="00381A49"/>
    <w:rsid w:val="00385BE3"/>
    <w:rsid w:val="003B13D4"/>
    <w:rsid w:val="003B185F"/>
    <w:rsid w:val="003D071B"/>
    <w:rsid w:val="00414BBE"/>
    <w:rsid w:val="00417790"/>
    <w:rsid w:val="00455FEE"/>
    <w:rsid w:val="00465101"/>
    <w:rsid w:val="004655DC"/>
    <w:rsid w:val="00465D15"/>
    <w:rsid w:val="004A01E3"/>
    <w:rsid w:val="004B333F"/>
    <w:rsid w:val="004E40CE"/>
    <w:rsid w:val="005113CD"/>
    <w:rsid w:val="0051488C"/>
    <w:rsid w:val="00527F1D"/>
    <w:rsid w:val="00532E13"/>
    <w:rsid w:val="00541044"/>
    <w:rsid w:val="005441FB"/>
    <w:rsid w:val="00557937"/>
    <w:rsid w:val="005626D5"/>
    <w:rsid w:val="00571CE9"/>
    <w:rsid w:val="00596492"/>
    <w:rsid w:val="005A7C7D"/>
    <w:rsid w:val="005B0ECF"/>
    <w:rsid w:val="005D1E76"/>
    <w:rsid w:val="00607CEB"/>
    <w:rsid w:val="00617C89"/>
    <w:rsid w:val="0062009B"/>
    <w:rsid w:val="00622FFF"/>
    <w:rsid w:val="00625033"/>
    <w:rsid w:val="00630CB6"/>
    <w:rsid w:val="00641B9E"/>
    <w:rsid w:val="0064315B"/>
    <w:rsid w:val="00662581"/>
    <w:rsid w:val="00672635"/>
    <w:rsid w:val="00687B23"/>
    <w:rsid w:val="00690AAA"/>
    <w:rsid w:val="006A5F12"/>
    <w:rsid w:val="006D1FC7"/>
    <w:rsid w:val="006D2B96"/>
    <w:rsid w:val="006D53E7"/>
    <w:rsid w:val="006D72AF"/>
    <w:rsid w:val="006D767F"/>
    <w:rsid w:val="006D7D35"/>
    <w:rsid w:val="006E0F0B"/>
    <w:rsid w:val="006E2E78"/>
    <w:rsid w:val="006E4943"/>
    <w:rsid w:val="006E5A04"/>
    <w:rsid w:val="006F6A3A"/>
    <w:rsid w:val="006F6D31"/>
    <w:rsid w:val="007161D3"/>
    <w:rsid w:val="00716C9F"/>
    <w:rsid w:val="007501BB"/>
    <w:rsid w:val="00755267"/>
    <w:rsid w:val="00792553"/>
    <w:rsid w:val="007A2390"/>
    <w:rsid w:val="007A6651"/>
    <w:rsid w:val="007C53B3"/>
    <w:rsid w:val="007C7789"/>
    <w:rsid w:val="007F60EC"/>
    <w:rsid w:val="00830A5B"/>
    <w:rsid w:val="00835B18"/>
    <w:rsid w:val="00841889"/>
    <w:rsid w:val="008435A7"/>
    <w:rsid w:val="00845D2B"/>
    <w:rsid w:val="00853B5F"/>
    <w:rsid w:val="00854E76"/>
    <w:rsid w:val="00854F6B"/>
    <w:rsid w:val="00874614"/>
    <w:rsid w:val="00881B70"/>
    <w:rsid w:val="0088415F"/>
    <w:rsid w:val="00885D2F"/>
    <w:rsid w:val="00887BA5"/>
    <w:rsid w:val="008C7621"/>
    <w:rsid w:val="008D1D96"/>
    <w:rsid w:val="009132C8"/>
    <w:rsid w:val="00933005"/>
    <w:rsid w:val="009421F0"/>
    <w:rsid w:val="00942E86"/>
    <w:rsid w:val="0096466D"/>
    <w:rsid w:val="009A3BDB"/>
    <w:rsid w:val="009C36D2"/>
    <w:rsid w:val="009C4D3C"/>
    <w:rsid w:val="009F6584"/>
    <w:rsid w:val="00A11C02"/>
    <w:rsid w:val="00A4273C"/>
    <w:rsid w:val="00AA03D5"/>
    <w:rsid w:val="00AB7B0F"/>
    <w:rsid w:val="00B0624C"/>
    <w:rsid w:val="00B1066A"/>
    <w:rsid w:val="00B156E0"/>
    <w:rsid w:val="00B15A52"/>
    <w:rsid w:val="00B45527"/>
    <w:rsid w:val="00B54921"/>
    <w:rsid w:val="00B65B10"/>
    <w:rsid w:val="00B7439F"/>
    <w:rsid w:val="00B86E96"/>
    <w:rsid w:val="00B94849"/>
    <w:rsid w:val="00BB1406"/>
    <w:rsid w:val="00BE0D52"/>
    <w:rsid w:val="00BE2910"/>
    <w:rsid w:val="00BE44A7"/>
    <w:rsid w:val="00BE5F93"/>
    <w:rsid w:val="00BF2611"/>
    <w:rsid w:val="00C30271"/>
    <w:rsid w:val="00C30BD9"/>
    <w:rsid w:val="00C32913"/>
    <w:rsid w:val="00C32D9D"/>
    <w:rsid w:val="00C378FC"/>
    <w:rsid w:val="00C45BC5"/>
    <w:rsid w:val="00C52FB5"/>
    <w:rsid w:val="00C552D1"/>
    <w:rsid w:val="00C72F79"/>
    <w:rsid w:val="00C95F07"/>
    <w:rsid w:val="00CB137E"/>
    <w:rsid w:val="00CB4286"/>
    <w:rsid w:val="00D06BD7"/>
    <w:rsid w:val="00D12B08"/>
    <w:rsid w:val="00D42123"/>
    <w:rsid w:val="00D71767"/>
    <w:rsid w:val="00D763C1"/>
    <w:rsid w:val="00D82A40"/>
    <w:rsid w:val="00DA572D"/>
    <w:rsid w:val="00DA6436"/>
    <w:rsid w:val="00DA7E76"/>
    <w:rsid w:val="00DB12FA"/>
    <w:rsid w:val="00DE63EC"/>
    <w:rsid w:val="00E0704A"/>
    <w:rsid w:val="00E41954"/>
    <w:rsid w:val="00E453D1"/>
    <w:rsid w:val="00E61E81"/>
    <w:rsid w:val="00E84B4F"/>
    <w:rsid w:val="00E97678"/>
    <w:rsid w:val="00EA06DE"/>
    <w:rsid w:val="00EB1EEA"/>
    <w:rsid w:val="00F02489"/>
    <w:rsid w:val="00F31EBA"/>
    <w:rsid w:val="00F6796B"/>
    <w:rsid w:val="00F7493F"/>
    <w:rsid w:val="00F774E4"/>
    <w:rsid w:val="00F91858"/>
    <w:rsid w:val="00FD2869"/>
    <w:rsid w:val="00FD6EC4"/>
    <w:rsid w:val="00FF23F5"/>
    <w:rsid w:val="216D4B4B"/>
    <w:rsid w:val="54D1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basedOn w:val="6"/>
    <w:link w:val="2"/>
    <w:uiPriority w:val="9"/>
    <w:rPr>
      <w:b/>
      <w:bCs/>
      <w:kern w:val="44"/>
      <w:sz w:val="44"/>
      <w:szCs w:val="44"/>
    </w:rPr>
  </w:style>
  <w:style w:type="character" w:customStyle="1" w:styleId="8">
    <w:name w:val="标题 3 Char"/>
    <w:basedOn w:val="6"/>
    <w:link w:val="3"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2962</Words>
  <Characters>3168</Characters>
  <Lines>26</Lines>
  <Paragraphs>7</Paragraphs>
  <TotalTime>0</TotalTime>
  <ScaleCrop>false</ScaleCrop>
  <LinksUpToDate>false</LinksUpToDate>
  <CharactersWithSpaces>3189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2018-08-15T02:34:00Z</dcterms:created>
  <dc:creator>宦翔</dc:creator>
  <cp:lastModifiedBy>齐俊丞</cp:lastModifiedBy>
  <dcterms:modified xsi:type="dcterms:W3CDTF">2024-09-09T03:11:12Z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1525F672179446A596D183547A99280A_12</vt:lpwstr>
  </property>
</Properties>
</file>