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BA2E75">
      <w:pPr>
        <w:pStyle w:val="2"/>
        <w:jc w:val="center"/>
      </w:pPr>
      <w:r>
        <w:rPr>
          <w:rFonts w:hint="eastAsia"/>
        </w:rPr>
        <w:t>量化私募基金运行报表业务规则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3"/>
        <w:gridCol w:w="2132"/>
        <w:gridCol w:w="2047"/>
        <w:gridCol w:w="1984"/>
      </w:tblGrid>
      <w:tr w14:paraId="6D6B8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3" w:type="dxa"/>
          </w:tcPr>
          <w:p w14:paraId="2E5BE1AF">
            <w:r>
              <w:rPr>
                <w:rFonts w:hint="eastAsia"/>
              </w:rPr>
              <w:t>版本号（文档版本号）</w:t>
            </w:r>
          </w:p>
        </w:tc>
        <w:tc>
          <w:tcPr>
            <w:tcW w:w="2132" w:type="dxa"/>
          </w:tcPr>
          <w:p w14:paraId="7DE13A6E">
            <w:r>
              <w:rPr>
                <w:rFonts w:hint="eastAsia"/>
              </w:rPr>
              <w:t>最后修订时间</w:t>
            </w:r>
          </w:p>
        </w:tc>
        <w:tc>
          <w:tcPr>
            <w:tcW w:w="2047" w:type="dxa"/>
          </w:tcPr>
          <w:p w14:paraId="7ACF1528">
            <w:r>
              <w:rPr>
                <w:rFonts w:hint="eastAsia"/>
              </w:rPr>
              <w:t>修订人</w:t>
            </w:r>
          </w:p>
        </w:tc>
        <w:tc>
          <w:tcPr>
            <w:tcW w:w="1984" w:type="dxa"/>
          </w:tcPr>
          <w:p w14:paraId="3EE81BD1">
            <w:r>
              <w:t>修改内容简述</w:t>
            </w:r>
          </w:p>
        </w:tc>
      </w:tr>
      <w:tr w14:paraId="08516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3" w:type="dxa"/>
          </w:tcPr>
          <w:p w14:paraId="6B5FFCA8">
            <w:r>
              <w:t>V1.0</w:t>
            </w:r>
          </w:p>
        </w:tc>
        <w:tc>
          <w:tcPr>
            <w:tcW w:w="2132" w:type="dxa"/>
          </w:tcPr>
          <w:p w14:paraId="587BF6AA">
            <w:r>
              <w:rPr>
                <w:rFonts w:hint="eastAsia"/>
              </w:rPr>
              <w:t>2</w:t>
            </w:r>
            <w:r>
              <w:t>022-3-21</w:t>
            </w:r>
          </w:p>
        </w:tc>
        <w:tc>
          <w:tcPr>
            <w:tcW w:w="2047" w:type="dxa"/>
          </w:tcPr>
          <w:p w14:paraId="4F6D0277">
            <w:r>
              <w:rPr>
                <w:rFonts w:hint="eastAsia"/>
              </w:rPr>
              <w:t>宦翔</w:t>
            </w:r>
          </w:p>
        </w:tc>
        <w:tc>
          <w:tcPr>
            <w:tcW w:w="1984" w:type="dxa"/>
          </w:tcPr>
          <w:p w14:paraId="64B1237A"/>
        </w:tc>
      </w:tr>
      <w:tr w14:paraId="30F4C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3" w:type="dxa"/>
          </w:tcPr>
          <w:p w14:paraId="4E506391">
            <w:r>
              <w:t>V1.01</w:t>
            </w:r>
          </w:p>
        </w:tc>
        <w:tc>
          <w:tcPr>
            <w:tcW w:w="2132" w:type="dxa"/>
          </w:tcPr>
          <w:p w14:paraId="2FB4458B">
            <w:r>
              <w:rPr>
                <w:rFonts w:hint="eastAsia"/>
              </w:rPr>
              <w:t>2</w:t>
            </w:r>
            <w:r>
              <w:t>022-4-11</w:t>
            </w:r>
          </w:p>
        </w:tc>
        <w:tc>
          <w:tcPr>
            <w:tcW w:w="2047" w:type="dxa"/>
          </w:tcPr>
          <w:p w14:paraId="38980FFB">
            <w:r>
              <w:rPr>
                <w:rFonts w:hint="eastAsia"/>
              </w:rPr>
              <w:t>宦翔</w:t>
            </w:r>
          </w:p>
        </w:tc>
        <w:tc>
          <w:tcPr>
            <w:tcW w:w="1984" w:type="dxa"/>
          </w:tcPr>
          <w:p w14:paraId="30B84CBA">
            <w:r>
              <w:t>收益互换合约价值、场外衍生品合约价值无条件</w:t>
            </w:r>
            <w:r>
              <w:rPr>
                <w:rFonts w:hint="eastAsia"/>
              </w:rPr>
              <w:t>必填</w:t>
            </w:r>
          </w:p>
        </w:tc>
      </w:tr>
      <w:tr w14:paraId="45AB8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3" w:type="dxa"/>
          </w:tcPr>
          <w:p w14:paraId="7B31FE83">
            <w:r>
              <w:t>V1.02</w:t>
            </w:r>
          </w:p>
        </w:tc>
        <w:tc>
          <w:tcPr>
            <w:tcW w:w="2132" w:type="dxa"/>
          </w:tcPr>
          <w:p w14:paraId="52F6A641">
            <w:r>
              <w:rPr>
                <w:rFonts w:hint="eastAsia"/>
              </w:rPr>
              <w:t>2</w:t>
            </w:r>
            <w:r>
              <w:t>022-6-13</w:t>
            </w:r>
          </w:p>
        </w:tc>
        <w:tc>
          <w:tcPr>
            <w:tcW w:w="2047" w:type="dxa"/>
          </w:tcPr>
          <w:p w14:paraId="3703DB81">
            <w:r>
              <w:rPr>
                <w:rFonts w:hint="eastAsia"/>
              </w:rPr>
              <w:t>宦翔</w:t>
            </w:r>
          </w:p>
        </w:tc>
        <w:tc>
          <w:tcPr>
            <w:tcW w:w="1984" w:type="dxa"/>
          </w:tcPr>
          <w:p w14:paraId="766300FB">
            <w:r>
              <w:t>入口文件说明属性前缀修改</w:t>
            </w:r>
          </w:p>
        </w:tc>
      </w:tr>
      <w:tr w14:paraId="0DF72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3" w:type="dxa"/>
          </w:tcPr>
          <w:p w14:paraId="49D81E61">
            <w:r>
              <w:t>V1.03</w:t>
            </w:r>
          </w:p>
        </w:tc>
        <w:tc>
          <w:tcPr>
            <w:tcW w:w="2132" w:type="dxa"/>
          </w:tcPr>
          <w:p w14:paraId="203C8EF6">
            <w:r>
              <w:rPr>
                <w:rFonts w:hint="eastAsia"/>
              </w:rPr>
              <w:t>2</w:t>
            </w:r>
            <w:r>
              <w:t>022-7-5</w:t>
            </w:r>
          </w:p>
        </w:tc>
        <w:tc>
          <w:tcPr>
            <w:tcW w:w="2047" w:type="dxa"/>
          </w:tcPr>
          <w:p w14:paraId="552AA4F3">
            <w:r>
              <w:rPr>
                <w:rFonts w:hint="eastAsia"/>
              </w:rPr>
              <w:t>宦翔</w:t>
            </w:r>
          </w:p>
        </w:tc>
        <w:tc>
          <w:tcPr>
            <w:tcW w:w="1984" w:type="dxa"/>
          </w:tcPr>
          <w:p w14:paraId="27E29154">
            <w:r>
              <w:rPr>
                <w:rFonts w:hint="eastAsia" w:ascii="宋体" w:hAnsi="宋体" w:eastAsia="宋体" w:cs="宋体"/>
                <w:color w:val="191919"/>
                <w:kern w:val="0"/>
                <w:sz w:val="22"/>
              </w:rPr>
              <w:t>管理基金规模和管理量化基金规模必填</w:t>
            </w:r>
          </w:p>
        </w:tc>
      </w:tr>
      <w:tr w14:paraId="376C5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3" w:type="dxa"/>
          </w:tcPr>
          <w:p w14:paraId="048B8428">
            <w:r>
              <w:t>V1.04</w:t>
            </w:r>
          </w:p>
        </w:tc>
        <w:tc>
          <w:tcPr>
            <w:tcW w:w="2132" w:type="dxa"/>
          </w:tcPr>
          <w:p w14:paraId="5F84E6FA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022-8-12</w:t>
            </w:r>
          </w:p>
        </w:tc>
        <w:tc>
          <w:tcPr>
            <w:tcW w:w="2047" w:type="dxa"/>
          </w:tcPr>
          <w:p w14:paraId="069EA4C4">
            <w:pPr>
              <w:rPr>
                <w:rFonts w:hint="eastAsia"/>
              </w:rPr>
            </w:pPr>
            <w:r>
              <w:rPr>
                <w:rFonts w:hint="eastAsia"/>
              </w:rPr>
              <w:t>宦翔</w:t>
            </w:r>
          </w:p>
        </w:tc>
        <w:tc>
          <w:tcPr>
            <w:tcW w:w="1984" w:type="dxa"/>
          </w:tcPr>
          <w:p w14:paraId="3E793D57">
            <w:pPr>
              <w:rPr>
                <w:rFonts w:hint="eastAsia" w:ascii="宋体" w:hAnsi="宋体" w:eastAsia="宋体" w:cs="宋体"/>
                <w:color w:val="191919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191919"/>
                <w:kern w:val="0"/>
                <w:sz w:val="22"/>
              </w:rPr>
              <w:t>基本信息表新增两条规则</w:t>
            </w:r>
          </w:p>
        </w:tc>
      </w:tr>
      <w:tr w14:paraId="5F65E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3" w:type="dxa"/>
          </w:tcPr>
          <w:p w14:paraId="79C4ABD2">
            <w:pPr>
              <w:rPr>
                <w:rFonts w:hint="eastAsia" w:eastAsiaTheme="minorEastAsia"/>
                <w:lang w:val="en-US" w:eastAsia="zh-CN"/>
              </w:rPr>
            </w:pPr>
            <w:r>
              <w:t>V1.0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132" w:type="dxa"/>
          </w:tcPr>
          <w:p w14:paraId="3D77FF11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2024-9-9</w:t>
            </w:r>
          </w:p>
        </w:tc>
        <w:tc>
          <w:tcPr>
            <w:tcW w:w="2047" w:type="dxa"/>
          </w:tcPr>
          <w:p w14:paraId="787BB6BF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齐占豪</w:t>
            </w:r>
          </w:p>
        </w:tc>
        <w:tc>
          <w:tcPr>
            <w:tcW w:w="1984" w:type="dxa"/>
          </w:tcPr>
          <w:p w14:paraId="4C9FAEC7">
            <w:pPr>
              <w:rPr>
                <w:rFonts w:hint="default" w:ascii="宋体" w:hAnsi="宋体" w:eastAsia="宋体" w:cs="宋体"/>
                <w:color w:val="191919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191919"/>
                <w:kern w:val="0"/>
                <w:sz w:val="22"/>
                <w:lang w:val="en-US" w:eastAsia="zh-CN"/>
              </w:rPr>
              <w:t>增加两个业务情况说明字段，更新两个一码通校验</w:t>
            </w:r>
            <w:bookmarkStart w:id="0" w:name="_GoBack"/>
            <w:bookmarkEnd w:id="0"/>
          </w:p>
        </w:tc>
      </w:tr>
    </w:tbl>
    <w:p w14:paraId="14DF7186"/>
    <w:p w14:paraId="6B8CBDAC"/>
    <w:p w14:paraId="71A08A9E"/>
    <w:p w14:paraId="029275CC">
      <w:pPr>
        <w:pStyle w:val="4"/>
        <w:numPr>
          <w:ilvl w:val="0"/>
          <w:numId w:val="1"/>
        </w:numPr>
      </w:pPr>
      <w:r>
        <w:rPr>
          <w:rFonts w:hint="eastAsia"/>
        </w:rPr>
        <w:t>入口文件说明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4280"/>
        <w:gridCol w:w="2120"/>
      </w:tblGrid>
      <w:tr w14:paraId="33B3D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5" w:type="pct"/>
          </w:tcPr>
          <w:p w14:paraId="7D9ECE9E">
            <w:r>
              <w:rPr>
                <w:rFonts w:hint="eastAsia"/>
              </w:rPr>
              <w:t>属性</w:t>
            </w:r>
          </w:p>
        </w:tc>
        <w:tc>
          <w:tcPr>
            <w:tcW w:w="2511" w:type="pct"/>
          </w:tcPr>
          <w:p w14:paraId="523C8601">
            <w:r>
              <w:rPr>
                <w:rFonts w:hint="eastAsia"/>
              </w:rPr>
              <w:t>名称</w:t>
            </w:r>
          </w:p>
        </w:tc>
        <w:tc>
          <w:tcPr>
            <w:tcW w:w="1244" w:type="pct"/>
          </w:tcPr>
          <w:p w14:paraId="26557434">
            <w:r>
              <w:rPr>
                <w:rFonts w:hint="eastAsia"/>
              </w:rPr>
              <w:t>说明</w:t>
            </w:r>
          </w:p>
        </w:tc>
      </w:tr>
      <w:tr w14:paraId="1A48B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5" w:type="pct"/>
          </w:tcPr>
          <w:p w14:paraId="7783AB7E">
            <w:r>
              <w:rPr>
                <w:rFonts w:hint="eastAsia"/>
              </w:rPr>
              <w:t>XBRL入口地址</w:t>
            </w:r>
          </w:p>
        </w:tc>
        <w:tc>
          <w:tcPr>
            <w:tcW w:w="2511" w:type="pct"/>
          </w:tcPr>
          <w:p w14:paraId="4FAC9208">
            <w:r>
              <w:t>http://www.amac.org.cn</w:t>
            </w:r>
            <w:r>
              <w:rPr>
                <w:rFonts w:hint="eastAsia"/>
              </w:rPr>
              <w:t>/</w:t>
            </w:r>
            <w:r>
              <w:t>amac/pf</w:t>
            </w:r>
            <w:r>
              <w:rPr>
                <w:rFonts w:hint="eastAsia"/>
              </w:rPr>
              <w:t>/</w:t>
            </w:r>
            <w:r>
              <w:t>pf_qmmr_amac_2016-03-31.xsd</w:t>
            </w:r>
          </w:p>
        </w:tc>
        <w:tc>
          <w:tcPr>
            <w:tcW w:w="1244" w:type="pct"/>
          </w:tcPr>
          <w:p w14:paraId="58B95DD3">
            <w:r>
              <w:rPr>
                <w:rFonts w:hint="eastAsia"/>
              </w:rPr>
              <w:t>量化私募基金运行报表</w:t>
            </w:r>
            <w:r>
              <w:t>入口模式文件</w:t>
            </w:r>
          </w:p>
        </w:tc>
      </w:tr>
      <w:tr w14:paraId="117C9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5" w:type="pct"/>
          </w:tcPr>
          <w:p w14:paraId="4AE331AF">
            <w:r>
              <w:t>amac:TemplateVersion</w:t>
            </w:r>
          </w:p>
        </w:tc>
        <w:tc>
          <w:tcPr>
            <w:tcW w:w="2511" w:type="pct"/>
          </w:tcPr>
          <w:p w14:paraId="7203F8BD">
            <w:r>
              <w:t>v</w:t>
            </w:r>
            <w:r>
              <w:rPr>
                <w:rFonts w:hint="eastAsia"/>
              </w:rPr>
              <w:t>1</w:t>
            </w:r>
            <w:r>
              <w:t>.0</w:t>
            </w:r>
          </w:p>
        </w:tc>
        <w:tc>
          <w:tcPr>
            <w:tcW w:w="1244" w:type="pct"/>
          </w:tcPr>
          <w:p w14:paraId="65BA26D2">
            <w:r>
              <w:rPr>
                <w:rFonts w:hint="eastAsia"/>
              </w:rPr>
              <w:t>X</w:t>
            </w:r>
            <w:r>
              <w:t>BRL</w:t>
            </w:r>
            <w:r>
              <w:rPr>
                <w:rFonts w:hint="eastAsia"/>
              </w:rPr>
              <w:t>、JSON直连报送版本号信息</w:t>
            </w:r>
          </w:p>
        </w:tc>
      </w:tr>
    </w:tbl>
    <w:p w14:paraId="6E152A0C"/>
    <w:p w14:paraId="08BC7767">
      <w:pPr>
        <w:pStyle w:val="4"/>
        <w:numPr>
          <w:ilvl w:val="0"/>
          <w:numId w:val="1"/>
        </w:numPr>
      </w:pPr>
      <w:r>
        <w:rPr>
          <w:rFonts w:hint="eastAsia"/>
        </w:rPr>
        <w:t>业务规则说明</w:t>
      </w:r>
    </w:p>
    <w:tbl>
      <w:tblPr>
        <w:tblStyle w:val="5"/>
        <w:tblW w:w="0" w:type="auto"/>
        <w:tblInd w:w="-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0"/>
        <w:gridCol w:w="5447"/>
      </w:tblGrid>
      <w:tr w14:paraId="5CBFD4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2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000000" w:fill="F5F4F4"/>
            <w:vAlign w:val="center"/>
          </w:tcPr>
          <w:p w14:paraId="0FF5445A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191919"/>
                <w:kern w:val="0"/>
                <w:sz w:val="22"/>
              </w:rPr>
              <w:t>管理人基本信息表</w:t>
            </w:r>
          </w:p>
        </w:tc>
      </w:tr>
      <w:tr w14:paraId="657E41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000000" w:fill="F5F4F4"/>
            <w:vAlign w:val="center"/>
          </w:tcPr>
          <w:p w14:paraId="7F87C058">
            <w:pPr>
              <w:widowControl/>
              <w:jc w:val="left"/>
              <w:rPr>
                <w:rFonts w:ascii="宋体" w:hAnsi="宋体" w:eastAsia="宋体" w:cs="宋体"/>
                <w:color w:val="191919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191919"/>
                <w:kern w:val="0"/>
                <w:sz w:val="22"/>
              </w:rPr>
              <w:t>管理人名称</w:t>
            </w:r>
          </w:p>
        </w:tc>
        <w:tc>
          <w:tcPr>
            <w:tcW w:w="0" w:type="auto"/>
            <w:tcBorders>
              <w:top w:val="single" w:color="CCCCCC" w:sz="4" w:space="0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40D5BE61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必填</w:t>
            </w:r>
          </w:p>
        </w:tc>
      </w:tr>
      <w:tr w14:paraId="48FC2C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000000" w:fill="F5F4F4"/>
            <w:vAlign w:val="center"/>
          </w:tcPr>
          <w:p w14:paraId="68431B35">
            <w:pPr>
              <w:widowControl/>
              <w:jc w:val="left"/>
              <w:rPr>
                <w:rFonts w:ascii="宋体" w:hAnsi="宋体" w:eastAsia="宋体" w:cs="宋体"/>
                <w:color w:val="191919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191919"/>
                <w:kern w:val="0"/>
                <w:sz w:val="22"/>
              </w:rPr>
              <w:t>管理人编码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25434C8E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必填</w:t>
            </w:r>
          </w:p>
        </w:tc>
      </w:tr>
      <w:tr w14:paraId="0C8E28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000000" w:fill="FFFF00"/>
            <w:vAlign w:val="center"/>
          </w:tcPr>
          <w:p w14:paraId="718E195B">
            <w:pPr>
              <w:widowControl/>
              <w:jc w:val="left"/>
              <w:rPr>
                <w:rFonts w:ascii="微软雅黑" w:hAnsi="微软雅黑" w:eastAsia="微软雅黑" w:cs="宋体"/>
                <w:color w:val="191919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191919"/>
                <w:kern w:val="0"/>
                <w:sz w:val="22"/>
              </w:rPr>
              <w:t>管理人自营规模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5D9A207D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必填</w:t>
            </w:r>
          </w:p>
        </w:tc>
      </w:tr>
      <w:tr w14:paraId="3920A6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000000" w:fill="F5F4F4"/>
            <w:vAlign w:val="center"/>
          </w:tcPr>
          <w:p w14:paraId="20A96EEC">
            <w:pPr>
              <w:widowControl/>
              <w:jc w:val="left"/>
              <w:rPr>
                <w:rFonts w:ascii="宋体" w:hAnsi="宋体" w:eastAsia="宋体" w:cs="宋体"/>
                <w:color w:val="191919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191919"/>
                <w:kern w:val="0"/>
                <w:sz w:val="22"/>
              </w:rPr>
              <w:t>管理基金数量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1FAF8B69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必填</w:t>
            </w:r>
          </w:p>
        </w:tc>
      </w:tr>
      <w:tr w14:paraId="781B3D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000000" w:fill="F5F4F4"/>
            <w:vAlign w:val="center"/>
          </w:tcPr>
          <w:p w14:paraId="1CC7C8B1">
            <w:pPr>
              <w:widowControl/>
              <w:jc w:val="left"/>
              <w:rPr>
                <w:rFonts w:ascii="宋体" w:hAnsi="宋体" w:eastAsia="宋体" w:cs="宋体"/>
                <w:color w:val="191919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191919"/>
                <w:kern w:val="0"/>
                <w:sz w:val="22"/>
              </w:rPr>
              <w:t xml:space="preserve">        其中：管理量化基金数量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1B2B7953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与量化基金统计表填写的记录数进行校验，必须一致</w:t>
            </w:r>
          </w:p>
        </w:tc>
      </w:tr>
      <w:tr w14:paraId="14E248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000000" w:fill="F5F4F4"/>
            <w:vAlign w:val="center"/>
          </w:tcPr>
          <w:p w14:paraId="05C4F802">
            <w:pPr>
              <w:widowControl/>
              <w:jc w:val="left"/>
              <w:rPr>
                <w:rFonts w:ascii="宋体" w:hAnsi="宋体" w:eastAsia="宋体" w:cs="宋体"/>
                <w:color w:val="191919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191919"/>
                <w:kern w:val="0"/>
                <w:sz w:val="22"/>
              </w:rPr>
              <w:t>管理基金规模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6650870F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必填</w:t>
            </w:r>
          </w:p>
        </w:tc>
      </w:tr>
      <w:tr w14:paraId="339990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000000" w:fill="F5F4F4"/>
            <w:vAlign w:val="center"/>
          </w:tcPr>
          <w:p w14:paraId="518DB8AE">
            <w:pPr>
              <w:widowControl/>
              <w:jc w:val="left"/>
              <w:rPr>
                <w:rFonts w:ascii="宋体" w:hAnsi="宋体" w:eastAsia="宋体" w:cs="宋体"/>
                <w:color w:val="191919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191919"/>
                <w:kern w:val="0"/>
                <w:sz w:val="22"/>
              </w:rPr>
              <w:t xml:space="preserve">        其中：管理量化基金规模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6340EE15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必填校验。不得大于"管理基金规模"。</w:t>
            </w:r>
          </w:p>
        </w:tc>
      </w:tr>
      <w:tr w14:paraId="209CB3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000000" w:fill="F5F4F4"/>
            <w:vAlign w:val="center"/>
          </w:tcPr>
          <w:p w14:paraId="32BD784D">
            <w:pPr>
              <w:widowControl/>
              <w:jc w:val="left"/>
              <w:rPr>
                <w:rFonts w:ascii="宋体" w:hAnsi="宋体" w:eastAsia="宋体" w:cs="宋体"/>
                <w:color w:val="191919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191919"/>
                <w:kern w:val="0"/>
                <w:sz w:val="22"/>
              </w:rPr>
              <w:t>是否存在境外关联方或子公司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4D77655A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必填</w:t>
            </w:r>
          </w:p>
        </w:tc>
      </w:tr>
      <w:tr w14:paraId="7943B4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000000" w:fill="F5F4F4"/>
            <w:vAlign w:val="center"/>
          </w:tcPr>
          <w:p w14:paraId="4BFDEAE2">
            <w:pPr>
              <w:widowControl/>
              <w:jc w:val="left"/>
              <w:rPr>
                <w:rFonts w:ascii="宋体" w:hAnsi="宋体" w:eastAsia="宋体" w:cs="宋体"/>
                <w:color w:val="191919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191919"/>
                <w:kern w:val="0"/>
                <w:sz w:val="22"/>
              </w:rPr>
              <w:t>境外关联方和子公司名称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60D5BA1D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是否存在境外关联方或子公司：是，必填</w:t>
            </w:r>
          </w:p>
        </w:tc>
      </w:tr>
      <w:tr w14:paraId="624468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000000" w:fill="F5F4F4"/>
            <w:vAlign w:val="center"/>
          </w:tcPr>
          <w:p w14:paraId="567476C6">
            <w:pPr>
              <w:widowControl/>
              <w:jc w:val="left"/>
              <w:rPr>
                <w:rFonts w:ascii="宋体" w:hAnsi="宋体" w:eastAsia="宋体" w:cs="宋体"/>
                <w:color w:val="191919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191919"/>
                <w:kern w:val="0"/>
                <w:sz w:val="22"/>
              </w:rPr>
              <w:t>境外关联方和子公司管理基金总资产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1D137DBE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是否存在境外关联方或子公司：是，必填</w:t>
            </w:r>
          </w:p>
        </w:tc>
      </w:tr>
      <w:tr w14:paraId="171395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000000" w:fill="F5F4F4"/>
            <w:vAlign w:val="center"/>
          </w:tcPr>
          <w:p w14:paraId="0B9077A6">
            <w:pPr>
              <w:widowControl/>
              <w:jc w:val="left"/>
              <w:rPr>
                <w:rFonts w:ascii="宋体" w:hAnsi="宋体" w:eastAsia="宋体" w:cs="宋体"/>
                <w:color w:val="191919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191919"/>
                <w:kern w:val="0"/>
                <w:sz w:val="22"/>
              </w:rPr>
              <w:t>境外关联方和子公司管理基金净资产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4945832C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是否存在境外关联方或子公司：是，必填</w:t>
            </w:r>
          </w:p>
        </w:tc>
      </w:tr>
      <w:tr w14:paraId="5DCB1A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000000" w:fill="F5F4F4"/>
            <w:vAlign w:val="center"/>
          </w:tcPr>
          <w:p w14:paraId="2E67C326">
            <w:pPr>
              <w:widowControl/>
              <w:jc w:val="left"/>
              <w:rPr>
                <w:rFonts w:ascii="宋体" w:hAnsi="宋体" w:eastAsia="宋体" w:cs="宋体"/>
                <w:color w:val="191919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191919"/>
                <w:kern w:val="0"/>
                <w:sz w:val="22"/>
              </w:rPr>
              <w:t xml:space="preserve">       其中：通过陆股通投资境内股票市值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7140255D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是否存在境外关联方或子公司：是，必填</w:t>
            </w:r>
          </w:p>
        </w:tc>
      </w:tr>
      <w:tr w14:paraId="40BA34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000000" w:fill="FFFF00"/>
            <w:vAlign w:val="center"/>
          </w:tcPr>
          <w:p w14:paraId="51243B1B">
            <w:pPr>
              <w:widowControl/>
              <w:jc w:val="left"/>
              <w:rPr>
                <w:rFonts w:ascii="微软雅黑" w:hAnsi="微软雅黑" w:eastAsia="微软雅黑" w:cs="宋体"/>
                <w:color w:val="191919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191919"/>
                <w:kern w:val="0"/>
                <w:sz w:val="22"/>
              </w:rPr>
              <w:t xml:space="preserve">       其中：通过QFII投资境内股票市值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251C695F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 w14:paraId="302E1D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000000" w:fill="FFFF00"/>
            <w:vAlign w:val="center"/>
          </w:tcPr>
          <w:p w14:paraId="31FF4E6C">
            <w:pPr>
              <w:widowControl/>
              <w:jc w:val="left"/>
              <w:rPr>
                <w:rFonts w:ascii="微软雅黑" w:hAnsi="微软雅黑" w:eastAsia="微软雅黑"/>
                <w:color w:val="191919"/>
                <w:sz w:val="22"/>
              </w:rPr>
            </w:pPr>
            <w:r>
              <w:rPr>
                <w:rFonts w:hint="eastAsia" w:ascii="微软雅黑" w:hAnsi="微软雅黑" w:eastAsia="微软雅黑"/>
                <w:color w:val="191919"/>
                <w:sz w:val="22"/>
              </w:rPr>
              <w:t>当期剔除嵌套后的认购/申购总金额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45399D81">
            <w:pPr>
              <w:rPr>
                <w:rFonts w:hint="eastAsia"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必填，&gt;=0</w:t>
            </w:r>
          </w:p>
        </w:tc>
      </w:tr>
      <w:tr w14:paraId="52DB75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000000" w:fill="FFFF00"/>
            <w:vAlign w:val="center"/>
          </w:tcPr>
          <w:p w14:paraId="1CB75BA2">
            <w:pPr>
              <w:rPr>
                <w:rFonts w:hint="eastAsia" w:ascii="微软雅黑" w:hAnsi="微软雅黑" w:eastAsia="微软雅黑"/>
                <w:color w:val="191919"/>
                <w:sz w:val="22"/>
              </w:rPr>
            </w:pPr>
            <w:r>
              <w:rPr>
                <w:rFonts w:hint="eastAsia" w:ascii="微软雅黑" w:hAnsi="微软雅黑" w:eastAsia="微软雅黑"/>
                <w:color w:val="191919"/>
                <w:sz w:val="22"/>
              </w:rPr>
              <w:t>当期剔除嵌套后的赎回总金额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37CF6302">
            <w:pPr>
              <w:rPr>
                <w:rFonts w:hint="eastAsia" w:ascii="等线" w:hAnsi="等线" w:eastAsia="等线"/>
                <w:color w:val="00000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必填，&gt;=0</w:t>
            </w:r>
          </w:p>
        </w:tc>
      </w:tr>
      <w:tr w14:paraId="31330F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000000" w:fill="F5F4F4"/>
            <w:vAlign w:val="center"/>
          </w:tcPr>
          <w:p w14:paraId="760C2C1D">
            <w:pPr>
              <w:widowControl/>
              <w:jc w:val="left"/>
              <w:rPr>
                <w:rFonts w:ascii="宋体" w:hAnsi="宋体" w:eastAsia="宋体" w:cs="宋体"/>
                <w:color w:val="191919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191919"/>
                <w:kern w:val="0"/>
                <w:sz w:val="22"/>
              </w:rPr>
              <w:t>境外关联方和子公司投资境内股票交易服务商名称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59437F89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是否存在境外关联方或子公司：是，必填</w:t>
            </w:r>
          </w:p>
        </w:tc>
      </w:tr>
      <w:tr w14:paraId="261389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5F4F4"/>
            <w:vAlign w:val="center"/>
          </w:tcPr>
          <w:p w14:paraId="2155F61B">
            <w:pPr>
              <w:widowControl/>
              <w:jc w:val="center"/>
              <w:rPr>
                <w:rFonts w:ascii="宋体" w:hAnsi="宋体" w:eastAsia="宋体" w:cs="宋体"/>
                <w:color w:val="191919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191919"/>
                <w:kern w:val="0"/>
                <w:sz w:val="22"/>
              </w:rPr>
              <w:t>管理人需要说明的其他问题</w:t>
            </w:r>
          </w:p>
        </w:tc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5FF08ADF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与系统中报告生成日管理人所管理的正在运作(≠99)的基金数量校验。如不一致，该项必填</w:t>
            </w:r>
          </w:p>
        </w:tc>
      </w:tr>
    </w:tbl>
    <w:p w14:paraId="748D494E"/>
    <w:tbl>
      <w:tblPr>
        <w:tblStyle w:val="5"/>
        <w:tblW w:w="0" w:type="auto"/>
        <w:tblInd w:w="-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7"/>
        <w:gridCol w:w="6890"/>
      </w:tblGrid>
      <w:tr w14:paraId="1F26DA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gridSpan w:val="2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vAlign w:val="center"/>
          </w:tcPr>
          <w:p w14:paraId="14CB9159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量化基金统计表</w:t>
            </w:r>
          </w:p>
        </w:tc>
      </w:tr>
      <w:tr w14:paraId="12F3F0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vMerge w:val="restart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vAlign w:val="center"/>
          </w:tcPr>
          <w:p w14:paraId="7EEF61C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基金名称</w:t>
            </w:r>
          </w:p>
        </w:tc>
        <w:tc>
          <w:tcPr>
            <w:tcW w:w="0" w:type="auto"/>
            <w:tcBorders>
              <w:top w:val="single" w:color="CCCCCC" w:sz="4" w:space="0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50AC669E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硬校验：与管理人备案基金名称匹配</w:t>
            </w:r>
          </w:p>
        </w:tc>
      </w:tr>
      <w:tr w14:paraId="6D259D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vMerge w:val="continue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vAlign w:val="center"/>
          </w:tcPr>
          <w:p w14:paraId="22B54D9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0AA2FA25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记录中其他任意科目有值，该项必填</w:t>
            </w:r>
          </w:p>
        </w:tc>
      </w:tr>
      <w:tr w14:paraId="09C32A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vMerge w:val="restart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vAlign w:val="center"/>
          </w:tcPr>
          <w:p w14:paraId="3F7EFCA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基金编码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51EE0FC4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当基金名称存在时，必填</w:t>
            </w:r>
          </w:p>
        </w:tc>
      </w:tr>
      <w:tr w14:paraId="6D4531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0" w:type="auto"/>
            <w:vMerge w:val="continue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vAlign w:val="center"/>
          </w:tcPr>
          <w:p w14:paraId="348C950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7914B27C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硬校验：与管理人备案基金S码匹配</w:t>
            </w:r>
          </w:p>
        </w:tc>
      </w:tr>
      <w:tr w14:paraId="474293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vMerge w:val="restart"/>
            <w:tcBorders>
              <w:top w:val="nil"/>
              <w:left w:val="single" w:color="CCCCCC" w:sz="4" w:space="0"/>
              <w:right w:val="single" w:color="CCCCCC" w:sz="4" w:space="0"/>
            </w:tcBorders>
            <w:shd w:val="clear" w:color="auto" w:fill="auto"/>
            <w:vAlign w:val="center"/>
          </w:tcPr>
          <w:p w14:paraId="2AF01489">
            <w:pPr>
              <w:widowControl/>
              <w:jc w:val="left"/>
              <w:rPr>
                <w:rFonts w:ascii="宋体" w:hAnsi="宋体" w:eastAsia="宋体" w:cs="宋体"/>
                <w:color w:val="191919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191919"/>
                <w:kern w:val="0"/>
                <w:sz w:val="22"/>
              </w:rPr>
              <w:t>中登公司一码通账户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077C873B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填了“股票投资金额”字段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“中登公司一码通账户”必填。</w:t>
            </w:r>
          </w:p>
        </w:tc>
      </w:tr>
      <w:tr w14:paraId="6F4E99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vMerge w:val="continue"/>
            <w:tcBorders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vAlign w:val="center"/>
          </w:tcPr>
          <w:p w14:paraId="6D9F8961">
            <w:pPr>
              <w:widowControl/>
              <w:jc w:val="left"/>
              <w:rPr>
                <w:rFonts w:hint="eastAsia" w:ascii="宋体" w:hAnsi="宋体" w:eastAsia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12C95016">
            <w:pPr>
              <w:widowControl/>
              <w:tabs>
                <w:tab w:val="left" w:pos="2057"/>
              </w:tabs>
              <w:jc w:val="left"/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填写位数校验:“中登公司一码通账户”为12位。</w:t>
            </w:r>
          </w:p>
          <w:p w14:paraId="09280A7D">
            <w:pPr>
              <w:widowControl/>
              <w:tabs>
                <w:tab w:val="left" w:pos="2057"/>
              </w:tabs>
              <w:jc w:val="left"/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若第一位为0不可</w:t>
            </w: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省略。</w:t>
            </w:r>
          </w:p>
          <w:p w14:paraId="2F778880">
            <w:pPr>
              <w:widowControl/>
              <w:tabs>
                <w:tab w:val="left" w:pos="2057"/>
              </w:tabs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  <w:t>不可填写一串相同数字的数值。</w:t>
            </w:r>
          </w:p>
          <w:p w14:paraId="7C0DFEB3">
            <w:pPr>
              <w:widowControl/>
              <w:tabs>
                <w:tab w:val="left" w:pos="2057"/>
              </w:tabs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“中登公司一码通账户”</w:t>
            </w: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和</w:t>
            </w: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“期货保证金监控中心账户”</w:t>
            </w: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不可填写相同数字</w:t>
            </w:r>
          </w:p>
        </w:tc>
      </w:tr>
      <w:tr w14:paraId="48685E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vAlign w:val="center"/>
          </w:tcPr>
          <w:p w14:paraId="692A8719">
            <w:pPr>
              <w:widowControl/>
              <w:jc w:val="left"/>
              <w:rPr>
                <w:rFonts w:hint="eastAsia" w:ascii="宋体" w:hAnsi="宋体" w:eastAsia="宋体" w:cs="宋体"/>
                <w:color w:val="191919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191919"/>
                <w:kern w:val="0"/>
                <w:sz w:val="22"/>
              </w:rPr>
              <w:t>业务情况说明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0D06E0FB">
            <w:pPr>
              <w:widowControl/>
              <w:tabs>
                <w:tab w:val="left" w:pos="2057"/>
              </w:tabs>
              <w:jc w:val="left"/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“中登公司一码通账户”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不填，</w:t>
            </w:r>
            <w:r>
              <w:rPr>
                <w:rFonts w:hint="eastAsia" w:ascii="宋体" w:hAnsi="宋体" w:eastAsia="宋体" w:cs="宋体"/>
                <w:color w:val="191919"/>
                <w:kern w:val="0"/>
                <w:sz w:val="22"/>
              </w:rPr>
              <w:t>业务情况说明</w:t>
            </w:r>
            <w:r>
              <w:rPr>
                <w:rFonts w:hint="eastAsia" w:ascii="宋体" w:hAnsi="宋体" w:eastAsia="宋体" w:cs="宋体"/>
                <w:color w:val="191919"/>
                <w:kern w:val="0"/>
                <w:sz w:val="22"/>
                <w:lang w:val="en-US" w:eastAsia="zh-CN"/>
              </w:rPr>
              <w:t>必填。</w:t>
            </w:r>
          </w:p>
        </w:tc>
      </w:tr>
      <w:tr w14:paraId="665C07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0" w:type="auto"/>
            <w:vMerge w:val="restart"/>
            <w:tcBorders>
              <w:top w:val="nil"/>
              <w:left w:val="single" w:color="CCCCCC" w:sz="4" w:space="0"/>
              <w:right w:val="single" w:color="CCCCCC" w:sz="4" w:space="0"/>
            </w:tcBorders>
            <w:shd w:val="clear" w:color="000000" w:fill="DDEBF7"/>
            <w:vAlign w:val="center"/>
          </w:tcPr>
          <w:p w14:paraId="30285F15">
            <w:pPr>
              <w:widowControl/>
              <w:jc w:val="left"/>
              <w:rPr>
                <w:rFonts w:ascii="宋体" w:hAnsi="宋体" w:eastAsia="宋体" w:cs="宋体"/>
                <w:color w:val="191919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191919"/>
                <w:kern w:val="0"/>
                <w:sz w:val="22"/>
              </w:rPr>
              <w:t>期货保证金监控中心账户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66EF6D83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填了“其中：股指期货交易保证金”字段，“期货保证金监控中心统一开户编码”必填。</w:t>
            </w:r>
          </w:p>
        </w:tc>
      </w:tr>
      <w:tr w14:paraId="05A0C4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0" w:type="auto"/>
            <w:vMerge w:val="continue"/>
            <w:tcBorders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000000" w:fill="DDEBF7"/>
            <w:vAlign w:val="center"/>
          </w:tcPr>
          <w:p w14:paraId="48490EE7">
            <w:pPr>
              <w:widowControl/>
              <w:jc w:val="left"/>
              <w:rPr>
                <w:rFonts w:hint="eastAsia" w:ascii="宋体" w:hAnsi="宋体" w:eastAsia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51F86B26">
            <w:pPr>
              <w:widowControl/>
              <w:tabs>
                <w:tab w:val="left" w:pos="2057"/>
              </w:tabs>
              <w:jc w:val="left"/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填写位数校验:“期货保证金监控中心账户”为8位。</w:t>
            </w:r>
          </w:p>
          <w:p w14:paraId="76B1886A">
            <w:pPr>
              <w:widowControl/>
              <w:tabs>
                <w:tab w:val="left" w:pos="2057"/>
              </w:tabs>
              <w:jc w:val="left"/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若第一位为0不可</w:t>
            </w: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省略。</w:t>
            </w:r>
          </w:p>
          <w:p w14:paraId="3F0CAF20"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  <w:t>不可填写一串相同数字的数值。</w:t>
            </w:r>
          </w:p>
          <w:p w14:paraId="21E3831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“中登公司一码通账户”</w:t>
            </w: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和</w:t>
            </w: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“期货保证金监控中心账户”</w:t>
            </w: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不可填写相同数字</w:t>
            </w:r>
          </w:p>
        </w:tc>
      </w:tr>
      <w:tr w14:paraId="0DF379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000000" w:fill="DDEBF7"/>
            <w:vAlign w:val="center"/>
          </w:tcPr>
          <w:p w14:paraId="3286F15A">
            <w:pPr>
              <w:widowControl/>
              <w:jc w:val="left"/>
              <w:rPr>
                <w:rFonts w:hint="eastAsia" w:ascii="宋体" w:hAnsi="宋体" w:eastAsia="宋体" w:cs="宋体"/>
                <w:color w:val="191919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191919"/>
                <w:kern w:val="0"/>
                <w:sz w:val="22"/>
              </w:rPr>
              <w:t>业务情况说明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7F0C5AC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“期货保证金监控中心账户”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不填，</w:t>
            </w:r>
            <w:r>
              <w:rPr>
                <w:rFonts w:hint="eastAsia" w:ascii="宋体" w:hAnsi="宋体" w:eastAsia="宋体" w:cs="宋体"/>
                <w:color w:val="191919"/>
                <w:kern w:val="0"/>
                <w:sz w:val="22"/>
              </w:rPr>
              <w:t>业务情况说明</w:t>
            </w:r>
            <w:r>
              <w:rPr>
                <w:rFonts w:hint="eastAsia" w:ascii="宋体" w:hAnsi="宋体" w:eastAsia="宋体" w:cs="宋体"/>
                <w:color w:val="191919"/>
                <w:kern w:val="0"/>
                <w:sz w:val="22"/>
                <w:lang w:val="en-US" w:eastAsia="zh-CN"/>
              </w:rPr>
              <w:t>必填。</w:t>
            </w:r>
          </w:p>
        </w:tc>
      </w:tr>
      <w:tr w14:paraId="560A51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restart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vAlign w:val="center"/>
          </w:tcPr>
          <w:p w14:paraId="53CDA254">
            <w:pPr>
              <w:widowControl/>
              <w:jc w:val="left"/>
              <w:rPr>
                <w:rFonts w:ascii="宋体" w:hAnsi="宋体" w:eastAsia="宋体" w:cs="宋体"/>
                <w:color w:val="191919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191919"/>
                <w:kern w:val="0"/>
                <w:sz w:val="22"/>
              </w:rPr>
              <w:t>量化主策略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0C6B9C87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当基金名称存在时，必填</w:t>
            </w:r>
          </w:p>
        </w:tc>
      </w:tr>
      <w:tr w14:paraId="7F8844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0" w:type="auto"/>
            <w:vMerge w:val="continue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vAlign w:val="center"/>
          </w:tcPr>
          <w:p w14:paraId="6B482856">
            <w:pPr>
              <w:widowControl/>
              <w:jc w:val="left"/>
              <w:rPr>
                <w:rFonts w:ascii="宋体" w:hAnsi="宋体" w:eastAsia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595624A7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填写范围：A-指数增强策略；B-市场中性策略；C-多空灵活策略；D-量化多头策略；E-期货CTA策略；F-参与新股发行策略；G-量化套利策略；H-日内回转策略；I-其他</w:t>
            </w:r>
          </w:p>
        </w:tc>
      </w:tr>
      <w:tr w14:paraId="237276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0" w:type="auto"/>
            <w:vMerge w:val="continue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vAlign w:val="center"/>
          </w:tcPr>
          <w:p w14:paraId="6E3D865A">
            <w:pPr>
              <w:widowControl/>
              <w:jc w:val="left"/>
              <w:rPr>
                <w:rFonts w:ascii="宋体" w:hAnsi="宋体" w:eastAsia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7B56DDD6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只可填写一项</w:t>
            </w:r>
          </w:p>
        </w:tc>
      </w:tr>
      <w:tr w14:paraId="001579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vAlign w:val="center"/>
          </w:tcPr>
          <w:p w14:paraId="259C2D3C">
            <w:pPr>
              <w:widowControl/>
              <w:jc w:val="left"/>
              <w:rPr>
                <w:rFonts w:ascii="宋体" w:hAnsi="宋体" w:eastAsia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62EC5B83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填写“其他”格式应为：其他#说明详情；</w:t>
            </w:r>
          </w:p>
        </w:tc>
      </w:tr>
      <w:tr w14:paraId="6BBA0A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vAlign w:val="center"/>
          </w:tcPr>
          <w:p w14:paraId="6568374B">
            <w:pPr>
              <w:widowControl/>
              <w:jc w:val="left"/>
              <w:rPr>
                <w:rFonts w:ascii="宋体" w:hAnsi="宋体" w:eastAsia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36F781C8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 w14:paraId="092151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0" w:type="auto"/>
            <w:vMerge w:val="restart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000000" w:fill="DDEBF7"/>
            <w:vAlign w:val="center"/>
          </w:tcPr>
          <w:p w14:paraId="7D591E15">
            <w:pPr>
              <w:widowControl/>
              <w:jc w:val="left"/>
              <w:rPr>
                <w:rFonts w:ascii="宋体" w:hAnsi="宋体" w:eastAsia="宋体" w:cs="宋体"/>
                <w:color w:val="191919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191919"/>
                <w:kern w:val="0"/>
                <w:sz w:val="22"/>
              </w:rPr>
              <w:t>量化辅策略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2702FF77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填写范围：A-指数增强策略；B-市场中性策略；C-多空灵活策略；D-量化多头策略；E-期货CTA策略；F-参与新股发行策略；G-量化套利策略；H-日内回转策略；I-其他</w:t>
            </w:r>
          </w:p>
        </w:tc>
      </w:tr>
      <w:tr w14:paraId="473EC1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vMerge w:val="continue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vAlign w:val="center"/>
          </w:tcPr>
          <w:p w14:paraId="1E1B7F44">
            <w:pPr>
              <w:widowControl/>
              <w:jc w:val="left"/>
              <w:rPr>
                <w:rFonts w:ascii="宋体" w:hAnsi="宋体" w:eastAsia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2EECB44F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填写“其他”格式应为：其他#说明详情；</w:t>
            </w:r>
          </w:p>
        </w:tc>
      </w:tr>
      <w:tr w14:paraId="3BD7B2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0" w:type="auto"/>
            <w:vMerge w:val="continue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vAlign w:val="center"/>
          </w:tcPr>
          <w:p w14:paraId="2A993516">
            <w:pPr>
              <w:widowControl/>
              <w:jc w:val="left"/>
              <w:rPr>
                <w:rFonts w:ascii="宋体" w:hAnsi="宋体" w:eastAsia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54C0817D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不可包含主策略所填选项</w:t>
            </w:r>
          </w:p>
        </w:tc>
      </w:tr>
      <w:tr w14:paraId="4954BF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0" w:type="auto"/>
            <w:vMerge w:val="continue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vAlign w:val="center"/>
          </w:tcPr>
          <w:p w14:paraId="6A28F6AF">
            <w:pPr>
              <w:widowControl/>
              <w:jc w:val="left"/>
              <w:rPr>
                <w:rFonts w:ascii="宋体" w:hAnsi="宋体" w:eastAsia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4364A1BF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1、辅助策略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</w:rPr>
              <w:t>包含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主策略选项，需删除该选项，其他选项只可填写最多两项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2、辅助策略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</w:rPr>
              <w:t>不包含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主策略选项，只可填写最多三项</w:t>
            </w:r>
          </w:p>
        </w:tc>
      </w:tr>
      <w:tr w14:paraId="3301C9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0" w:type="auto"/>
            <w:vMerge w:val="continue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vAlign w:val="center"/>
          </w:tcPr>
          <w:p w14:paraId="461673CE">
            <w:pPr>
              <w:widowControl/>
              <w:jc w:val="left"/>
              <w:rPr>
                <w:rFonts w:ascii="宋体" w:hAnsi="宋体" w:eastAsia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633A9FF6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 w14:paraId="14B59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0" w:type="auto"/>
            <w:vMerge w:val="continue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vAlign w:val="center"/>
          </w:tcPr>
          <w:p w14:paraId="67E89F3D">
            <w:pPr>
              <w:widowControl/>
              <w:jc w:val="left"/>
              <w:rPr>
                <w:rFonts w:ascii="宋体" w:hAnsi="宋体" w:eastAsia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5E4170CC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 w14:paraId="244428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vAlign w:val="center"/>
          </w:tcPr>
          <w:p w14:paraId="686A8AA7">
            <w:pPr>
              <w:widowControl/>
              <w:jc w:val="left"/>
              <w:rPr>
                <w:rFonts w:ascii="宋体" w:hAnsi="宋体" w:eastAsia="宋体" w:cs="宋体"/>
                <w:color w:val="191919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191919"/>
                <w:kern w:val="0"/>
                <w:sz w:val="22"/>
              </w:rPr>
              <w:t>当期量化主策略是否发生更改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6BDDB253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当基金名称存在时，必填</w:t>
            </w:r>
          </w:p>
        </w:tc>
      </w:tr>
      <w:tr w14:paraId="60CCCD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000000" w:fill="FFFF00"/>
            <w:vAlign w:val="center"/>
          </w:tcPr>
          <w:p w14:paraId="52D579D3">
            <w:pPr>
              <w:widowControl/>
              <w:jc w:val="center"/>
              <w:rPr>
                <w:rFonts w:ascii="微软雅黑" w:hAnsi="微软雅黑" w:eastAsia="微软雅黑" w:cs="宋体"/>
                <w:color w:val="191919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191919"/>
                <w:kern w:val="0"/>
                <w:sz w:val="22"/>
              </w:rPr>
              <w:t>预警线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54E8601F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必填</w:t>
            </w:r>
          </w:p>
        </w:tc>
      </w:tr>
      <w:tr w14:paraId="3D2A1D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000000" w:fill="FFFF00"/>
            <w:vAlign w:val="center"/>
          </w:tcPr>
          <w:p w14:paraId="4465B510">
            <w:pPr>
              <w:widowControl/>
              <w:jc w:val="center"/>
              <w:rPr>
                <w:rFonts w:ascii="微软雅黑" w:hAnsi="微软雅黑" w:eastAsia="微软雅黑" w:cs="宋体"/>
                <w:color w:val="191919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191919"/>
                <w:kern w:val="0"/>
                <w:sz w:val="22"/>
              </w:rPr>
              <w:t>止损线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5AB4E606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必填</w:t>
            </w:r>
          </w:p>
        </w:tc>
      </w:tr>
      <w:tr w14:paraId="53E260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vAlign w:val="center"/>
          </w:tcPr>
          <w:p w14:paraId="681000E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基金规模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247F040B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当基金名称存在时，必填</w:t>
            </w:r>
          </w:p>
        </w:tc>
      </w:tr>
      <w:tr w14:paraId="1B0470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vAlign w:val="center"/>
          </w:tcPr>
          <w:p w14:paraId="3409E1D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基金总资产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359819BF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当基金名称存在时，必填</w:t>
            </w:r>
          </w:p>
        </w:tc>
      </w:tr>
      <w:tr w14:paraId="1E2AB7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vAlign w:val="center"/>
          </w:tcPr>
          <w:p w14:paraId="28A6F29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基金单位净值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5513422E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当基金名称存在时，必填</w:t>
            </w:r>
          </w:p>
        </w:tc>
      </w:tr>
      <w:tr w14:paraId="7B4E48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vAlign w:val="center"/>
          </w:tcPr>
          <w:p w14:paraId="778C85D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基金单位累计净值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69B85DFB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当基金名称存在时，必填</w:t>
            </w:r>
          </w:p>
        </w:tc>
      </w:tr>
      <w:tr w14:paraId="7DEBAD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vAlign w:val="center"/>
          </w:tcPr>
          <w:p w14:paraId="77631F6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当期基金收益率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2D197645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当基金名称存在时，必填</w:t>
            </w:r>
          </w:p>
        </w:tc>
      </w:tr>
      <w:tr w14:paraId="224CE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vAlign w:val="center"/>
          </w:tcPr>
          <w:p w14:paraId="409F44D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本年基金收益率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48A13E71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当基金名称存在时，必填</w:t>
            </w:r>
          </w:p>
        </w:tc>
      </w:tr>
      <w:tr w14:paraId="741ABD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vAlign w:val="center"/>
          </w:tcPr>
          <w:p w14:paraId="52D1095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成立以来基金收益率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60E01775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当基金名称存在时，必填</w:t>
            </w:r>
          </w:p>
        </w:tc>
      </w:tr>
      <w:tr w14:paraId="2388A4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0" w:type="auto"/>
            <w:vMerge w:val="restart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vAlign w:val="center"/>
          </w:tcPr>
          <w:p w14:paraId="4AE125A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当期净值最大回撤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6E771B44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当基金名称存在时，必填</w:t>
            </w:r>
          </w:p>
        </w:tc>
      </w:tr>
      <w:tr w14:paraId="3A4176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0" w:type="auto"/>
            <w:vMerge w:val="continue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vAlign w:val="center"/>
          </w:tcPr>
          <w:p w14:paraId="7203F7D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2ADB2DFC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当期净值最大回撤超过1则管理人需要说明的其他问题必填（对应“管理人基本信息表”的“管理人需要说明的其他问题”）</w:t>
            </w:r>
          </w:p>
        </w:tc>
      </w:tr>
      <w:tr w14:paraId="42BB46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vAlign w:val="center"/>
          </w:tcPr>
          <w:p w14:paraId="74BC838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股票投资金额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2CC24376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当基金名称存在时，必填</w:t>
            </w:r>
          </w:p>
        </w:tc>
      </w:tr>
      <w:tr w14:paraId="2EF5B5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vAlign w:val="center"/>
          </w:tcPr>
          <w:p w14:paraId="053C459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日均持有股票数量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16FA5CB7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当基金名称存在时，必填</w:t>
            </w:r>
          </w:p>
        </w:tc>
      </w:tr>
      <w:tr w14:paraId="327ABE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vAlign w:val="center"/>
          </w:tcPr>
          <w:p w14:paraId="42102B8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日均股票成交金额（单边）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06DC323E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当基金名称存在时，必填</w:t>
            </w:r>
          </w:p>
        </w:tc>
      </w:tr>
      <w:tr w14:paraId="10BD9D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0" w:type="auto"/>
            <w:vMerge w:val="restart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vAlign w:val="center"/>
          </w:tcPr>
          <w:p w14:paraId="7AE2A9A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日均股票换手率（单边）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7B84E238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当基金名称存在时，必填</w:t>
            </w:r>
          </w:p>
        </w:tc>
      </w:tr>
      <w:tr w14:paraId="7AB08F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</w:trPr>
        <w:tc>
          <w:tcPr>
            <w:tcW w:w="0" w:type="auto"/>
            <w:vMerge w:val="continue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vAlign w:val="center"/>
          </w:tcPr>
          <w:p w14:paraId="244FF87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3C628C8F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日均股票换手率大于2管理人需要说明的其他问题必填（对应“管理人基本信息表”的“管理人需要说明的其他问题”）</w:t>
            </w:r>
          </w:p>
        </w:tc>
      </w:tr>
      <w:tr w14:paraId="7D1E99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000000" w:fill="FFFF00"/>
            <w:vAlign w:val="center"/>
          </w:tcPr>
          <w:p w14:paraId="6A1815E1">
            <w:pPr>
              <w:widowControl/>
              <w:jc w:val="center"/>
              <w:rPr>
                <w:rFonts w:ascii="微软雅黑" w:hAnsi="微软雅黑" w:eastAsia="微软雅黑" w:cs="宋体"/>
                <w:color w:val="191919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191919"/>
                <w:kern w:val="0"/>
                <w:sz w:val="22"/>
              </w:rPr>
              <w:t>现金类资产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38E45714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必填</w:t>
            </w:r>
          </w:p>
        </w:tc>
      </w:tr>
      <w:tr w14:paraId="66F4B8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0" w:type="auto"/>
            <w:vMerge w:val="restart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vAlign w:val="center"/>
          </w:tcPr>
          <w:p w14:paraId="63483D9E">
            <w:pPr>
              <w:widowControl/>
              <w:jc w:val="left"/>
              <w:rPr>
                <w:rFonts w:ascii="宋体" w:hAnsi="宋体" w:eastAsia="宋体" w:cs="宋体"/>
                <w:color w:val="191919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191919"/>
                <w:kern w:val="0"/>
                <w:sz w:val="22"/>
              </w:rPr>
              <w:t>期货及衍生品交易保证金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36B883EB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当基金名称存在时，必填</w:t>
            </w:r>
          </w:p>
        </w:tc>
      </w:tr>
      <w:tr w14:paraId="5752B9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vMerge w:val="continue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vAlign w:val="center"/>
          </w:tcPr>
          <w:p w14:paraId="245E5905">
            <w:pPr>
              <w:widowControl/>
              <w:jc w:val="left"/>
              <w:rPr>
                <w:rFonts w:ascii="宋体" w:hAnsi="宋体" w:eastAsia="宋体" w:cs="宋体"/>
                <w:color w:val="191919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1C581641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期货及衍生品交易保证金大于等于“其中：股指期货交易保证金”+“其中：场外衍生品交易保证金”</w:t>
            </w:r>
          </w:p>
        </w:tc>
      </w:tr>
      <w:tr w14:paraId="7EF9F0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vAlign w:val="center"/>
          </w:tcPr>
          <w:p w14:paraId="5F9CA2B0">
            <w:pPr>
              <w:widowControl/>
              <w:jc w:val="left"/>
              <w:rPr>
                <w:rFonts w:ascii="宋体" w:hAnsi="宋体" w:eastAsia="宋体" w:cs="宋体"/>
                <w:color w:val="191919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191919"/>
                <w:kern w:val="0"/>
                <w:sz w:val="22"/>
              </w:rPr>
              <w:t>其中：股指期货交易保证金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02002259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当基金名称存在时，必填</w:t>
            </w:r>
          </w:p>
        </w:tc>
      </w:tr>
      <w:tr w14:paraId="58FFE9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0" w:type="auto"/>
            <w:vMerge w:val="restart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vAlign w:val="center"/>
          </w:tcPr>
          <w:p w14:paraId="5D039F7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其中：场外衍生品交易保证金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4C3F982F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当基金名称存在时，必填</w:t>
            </w:r>
          </w:p>
        </w:tc>
      </w:tr>
      <w:tr w14:paraId="012534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0" w:type="auto"/>
            <w:vMerge w:val="continue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vAlign w:val="center"/>
          </w:tcPr>
          <w:p w14:paraId="4BFD8E2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393B772C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如果 “其中：场外衍生品交易保证金”大于0，则要求场外衍生品合约价值必须大于0</w:t>
            </w:r>
          </w:p>
        </w:tc>
      </w:tr>
      <w:tr w14:paraId="3E8507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000000" w:fill="FFFF00"/>
            <w:vAlign w:val="center"/>
          </w:tcPr>
          <w:p w14:paraId="21D04CF5">
            <w:pPr>
              <w:widowControl/>
              <w:jc w:val="center"/>
              <w:rPr>
                <w:rFonts w:ascii="微软雅黑" w:hAnsi="微软雅黑" w:eastAsia="微软雅黑" w:cs="宋体"/>
                <w:color w:val="191919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191919"/>
                <w:kern w:val="0"/>
                <w:sz w:val="22"/>
              </w:rPr>
              <w:t>其中：收益互换保证金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4C2A7217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必填</w:t>
            </w:r>
          </w:p>
        </w:tc>
      </w:tr>
      <w:tr w14:paraId="0395EC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000000" w:fill="FFFF00"/>
            <w:vAlign w:val="center"/>
          </w:tcPr>
          <w:p w14:paraId="79F51114">
            <w:pPr>
              <w:widowControl/>
              <w:jc w:val="center"/>
              <w:rPr>
                <w:rFonts w:ascii="微软雅黑" w:hAnsi="微软雅黑" w:eastAsia="微软雅黑" w:cs="宋体"/>
                <w:color w:val="191919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191919"/>
                <w:kern w:val="0"/>
                <w:sz w:val="22"/>
              </w:rPr>
              <w:t>场外衍生品名义本金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1426332F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必填</w:t>
            </w:r>
          </w:p>
        </w:tc>
      </w:tr>
      <w:tr w14:paraId="23362C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000000" w:fill="FFFF00"/>
            <w:vAlign w:val="center"/>
          </w:tcPr>
          <w:p w14:paraId="35F6A9A4">
            <w:pPr>
              <w:widowControl/>
              <w:jc w:val="center"/>
              <w:rPr>
                <w:rFonts w:ascii="微软雅黑" w:hAnsi="微软雅黑" w:eastAsia="微软雅黑" w:cs="宋体"/>
                <w:color w:val="191919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191919"/>
                <w:kern w:val="0"/>
                <w:sz w:val="22"/>
              </w:rPr>
              <w:t>收益互换名义本金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350E9456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必填</w:t>
            </w:r>
          </w:p>
        </w:tc>
      </w:tr>
      <w:tr w14:paraId="311028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vAlign w:val="center"/>
          </w:tcPr>
          <w:p w14:paraId="0063F6E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场外衍生品合约价值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53690162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当基金名称存在时，无条件必填</w:t>
            </w:r>
          </w:p>
        </w:tc>
      </w:tr>
      <w:tr w14:paraId="6A2342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000000" w:fill="FFFF00"/>
            <w:vAlign w:val="center"/>
          </w:tcPr>
          <w:p w14:paraId="5DB9078D">
            <w:pPr>
              <w:widowControl/>
              <w:jc w:val="center"/>
              <w:rPr>
                <w:rFonts w:ascii="微软雅黑" w:hAnsi="微软雅黑" w:eastAsia="微软雅黑" w:cs="宋体"/>
                <w:color w:val="191919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191919"/>
                <w:kern w:val="0"/>
                <w:sz w:val="22"/>
              </w:rPr>
              <w:t>收益互换合约价值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4D0F0FB7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无条件必填</w:t>
            </w:r>
          </w:p>
        </w:tc>
      </w:tr>
      <w:tr w14:paraId="766EED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vAlign w:val="center"/>
          </w:tcPr>
          <w:p w14:paraId="6DA8C3F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融资余额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777922E6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当基金名称存在时，必填</w:t>
            </w:r>
          </w:p>
        </w:tc>
      </w:tr>
      <w:tr w14:paraId="20C9BD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vAlign w:val="center"/>
          </w:tcPr>
          <w:p w14:paraId="0ADE696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融券余额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1AC16CA0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当基金名称存在时，必填</w:t>
            </w:r>
          </w:p>
        </w:tc>
      </w:tr>
      <w:tr w14:paraId="23F41D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000000" w:fill="DDEBF7"/>
            <w:vAlign w:val="center"/>
          </w:tcPr>
          <w:p w14:paraId="621D15A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账户最高申报速率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13117C92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若股票投资金额≠0，必填。</w:t>
            </w:r>
          </w:p>
        </w:tc>
      </w:tr>
      <w:tr w14:paraId="34B1B6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vAlign w:val="center"/>
          </w:tcPr>
          <w:p w14:paraId="3AB4545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本月申购总金额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27FB722D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当基金名称存在时，必填</w:t>
            </w:r>
          </w:p>
        </w:tc>
      </w:tr>
      <w:tr w14:paraId="023C74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vAlign w:val="center"/>
          </w:tcPr>
          <w:p w14:paraId="25EA8DF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本月赎回总金额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04296325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当基金名称存在时，必填</w:t>
            </w:r>
          </w:p>
        </w:tc>
      </w:tr>
      <w:tr w14:paraId="78A80D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0" w:type="auto"/>
            <w:vMerge w:val="restart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vAlign w:val="center"/>
          </w:tcPr>
          <w:p w14:paraId="1BCF3D3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本月发生巨额赎回次数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119CFB8A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当基金名称存在时，必填</w:t>
            </w:r>
          </w:p>
        </w:tc>
      </w:tr>
      <w:tr w14:paraId="715A7B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0" w:type="auto"/>
            <w:vMerge w:val="continue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vAlign w:val="center"/>
          </w:tcPr>
          <w:p w14:paraId="0489DD0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6ADFA3B9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仅支持数值</w:t>
            </w:r>
          </w:p>
        </w:tc>
      </w:tr>
      <w:tr w14:paraId="3C11BC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000000" w:fill="DDEBF7"/>
            <w:vAlign w:val="center"/>
          </w:tcPr>
          <w:p w14:paraId="0EEEDF5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巨额赎回情况说明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3752905F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校验：本月发生巨额赎回次数不为0，必填。</w:t>
            </w:r>
          </w:p>
        </w:tc>
      </w:tr>
      <w:tr w14:paraId="407086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vAlign w:val="center"/>
          </w:tcPr>
          <w:p w14:paraId="19BF4C4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基金是否处于清算过程中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CCCCCC" w:sz="4" w:space="0"/>
              <w:right w:val="single" w:color="CCCCCC" w:sz="4" w:space="0"/>
            </w:tcBorders>
            <w:shd w:val="clear" w:color="000000" w:fill="F1FEFE"/>
            <w:vAlign w:val="center"/>
          </w:tcPr>
          <w:p w14:paraId="0BA307A9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当基金名称存在时，必填</w:t>
            </w:r>
          </w:p>
        </w:tc>
      </w:tr>
      <w:tr w14:paraId="58B508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000000" w:fill="FFFF00"/>
            <w:vAlign w:val="center"/>
          </w:tcPr>
          <w:p w14:paraId="441415EA">
            <w:pPr>
              <w:widowControl/>
              <w:jc w:val="center"/>
              <w:rPr>
                <w:rFonts w:ascii="微软雅黑" w:hAnsi="微软雅黑" w:eastAsia="微软雅黑" w:cs="宋体"/>
                <w:color w:val="191919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191919"/>
                <w:kern w:val="0"/>
                <w:sz w:val="22"/>
              </w:rPr>
              <w:t>基金是否直接从事证券期货交易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9E68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必填</w:t>
            </w:r>
          </w:p>
        </w:tc>
      </w:tr>
      <w:tr w14:paraId="292873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0" w:type="auto"/>
            <w:tcBorders>
              <w:top w:val="nil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000000" w:fill="FFFF00"/>
            <w:vAlign w:val="center"/>
          </w:tcPr>
          <w:p w14:paraId="1EE7D996">
            <w:pPr>
              <w:widowControl/>
              <w:jc w:val="center"/>
              <w:rPr>
                <w:rFonts w:ascii="微软雅黑" w:hAnsi="微软雅黑" w:eastAsia="微软雅黑" w:cs="宋体"/>
                <w:color w:val="191919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191919"/>
                <w:kern w:val="0"/>
                <w:sz w:val="22"/>
              </w:rPr>
              <w:t>备注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5783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当基金直接从事证券期货交易，且未开立中登公司一码通账户、无期货保证金监控中心统一开户编码，备注必填</w:t>
            </w:r>
          </w:p>
        </w:tc>
      </w:tr>
    </w:tbl>
    <w:p w14:paraId="0366E8F6"/>
    <w:p w14:paraId="061E3EAD"/>
    <w:p w14:paraId="663F5746"/>
    <w:p w14:paraId="11F60082"/>
    <w:p w14:paraId="38DB1AF9"/>
    <w:p w14:paraId="58362216">
      <w:pPr>
        <w:pStyle w:val="4"/>
        <w:numPr>
          <w:ilvl w:val="0"/>
          <w:numId w:val="1"/>
        </w:numPr>
      </w:pPr>
      <w:r>
        <w:rPr>
          <w:rFonts w:hint="eastAsia"/>
        </w:rPr>
        <w:t>其他内容</w:t>
      </w:r>
    </w:p>
    <w:p w14:paraId="171F6259">
      <w:r>
        <w:t>暂无待补充</w:t>
      </w:r>
    </w:p>
    <w:p w14:paraId="105CF163"/>
    <w:p w14:paraId="44B582A2"/>
    <w:p w14:paraId="2BCBC8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E51360"/>
    <w:multiLevelType w:val="multilevel"/>
    <w:tmpl w:val="03E51360"/>
    <w:lvl w:ilvl="0" w:tentative="0">
      <w:start w:val="1"/>
      <w:numFmt w:val="decimal"/>
      <w:lvlText w:val="%1、"/>
      <w:lvlJc w:val="left"/>
      <w:pPr>
        <w:ind w:left="495" w:hanging="49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U0OGFmZDBjMGNiZDIxM2E4MGM4NzllN2RmOWFkYWIifQ=="/>
  </w:docVars>
  <w:rsids>
    <w:rsidRoot w:val="00C2788A"/>
    <w:rsid w:val="000109C3"/>
    <w:rsid w:val="00011BCA"/>
    <w:rsid w:val="000275F4"/>
    <w:rsid w:val="000728D5"/>
    <w:rsid w:val="00096E25"/>
    <w:rsid w:val="000E0E41"/>
    <w:rsid w:val="000F7EC4"/>
    <w:rsid w:val="00151B36"/>
    <w:rsid w:val="00185A11"/>
    <w:rsid w:val="001A2E91"/>
    <w:rsid w:val="001B3D55"/>
    <w:rsid w:val="001C68B5"/>
    <w:rsid w:val="001F6F07"/>
    <w:rsid w:val="001F7012"/>
    <w:rsid w:val="0020398D"/>
    <w:rsid w:val="002131C4"/>
    <w:rsid w:val="00260245"/>
    <w:rsid w:val="00275F92"/>
    <w:rsid w:val="00294694"/>
    <w:rsid w:val="002F33EE"/>
    <w:rsid w:val="002F3874"/>
    <w:rsid w:val="00313C8D"/>
    <w:rsid w:val="003273BD"/>
    <w:rsid w:val="00381A49"/>
    <w:rsid w:val="00385BE3"/>
    <w:rsid w:val="003B185F"/>
    <w:rsid w:val="003D071B"/>
    <w:rsid w:val="00441B53"/>
    <w:rsid w:val="00455FEE"/>
    <w:rsid w:val="00465101"/>
    <w:rsid w:val="00465D15"/>
    <w:rsid w:val="004A01E3"/>
    <w:rsid w:val="004B333F"/>
    <w:rsid w:val="004E40CE"/>
    <w:rsid w:val="00507F1E"/>
    <w:rsid w:val="005113CD"/>
    <w:rsid w:val="0051488C"/>
    <w:rsid w:val="00527F1D"/>
    <w:rsid w:val="005441FB"/>
    <w:rsid w:val="00557937"/>
    <w:rsid w:val="005B0ECF"/>
    <w:rsid w:val="005D1E76"/>
    <w:rsid w:val="005E619F"/>
    <w:rsid w:val="00607CEB"/>
    <w:rsid w:val="0062009B"/>
    <w:rsid w:val="00625033"/>
    <w:rsid w:val="00630CB6"/>
    <w:rsid w:val="00641B9E"/>
    <w:rsid w:val="00662581"/>
    <w:rsid w:val="00672635"/>
    <w:rsid w:val="006A5F12"/>
    <w:rsid w:val="006D2B96"/>
    <w:rsid w:val="006D72AF"/>
    <w:rsid w:val="006D767F"/>
    <w:rsid w:val="006D7D35"/>
    <w:rsid w:val="006E2E78"/>
    <w:rsid w:val="006E5A04"/>
    <w:rsid w:val="006F6D31"/>
    <w:rsid w:val="00716C9F"/>
    <w:rsid w:val="00722E4E"/>
    <w:rsid w:val="007501BB"/>
    <w:rsid w:val="0077332F"/>
    <w:rsid w:val="00792553"/>
    <w:rsid w:val="007C53B3"/>
    <w:rsid w:val="007C7789"/>
    <w:rsid w:val="00841889"/>
    <w:rsid w:val="00853B5F"/>
    <w:rsid w:val="00854F6B"/>
    <w:rsid w:val="0088415F"/>
    <w:rsid w:val="00885D2F"/>
    <w:rsid w:val="008C7621"/>
    <w:rsid w:val="009132C8"/>
    <w:rsid w:val="00933005"/>
    <w:rsid w:val="009421F0"/>
    <w:rsid w:val="0096466D"/>
    <w:rsid w:val="009A3BDB"/>
    <w:rsid w:val="009B3B6B"/>
    <w:rsid w:val="009B4152"/>
    <w:rsid w:val="009C4D3C"/>
    <w:rsid w:val="009F6584"/>
    <w:rsid w:val="00A05B63"/>
    <w:rsid w:val="00A11C02"/>
    <w:rsid w:val="00A4273C"/>
    <w:rsid w:val="00B0624C"/>
    <w:rsid w:val="00B15A52"/>
    <w:rsid w:val="00B45527"/>
    <w:rsid w:val="00B54921"/>
    <w:rsid w:val="00B65B10"/>
    <w:rsid w:val="00B94849"/>
    <w:rsid w:val="00BB1406"/>
    <w:rsid w:val="00BE2910"/>
    <w:rsid w:val="00BE44A7"/>
    <w:rsid w:val="00BE5F93"/>
    <w:rsid w:val="00C2788A"/>
    <w:rsid w:val="00C30271"/>
    <w:rsid w:val="00C32D9D"/>
    <w:rsid w:val="00C45BC5"/>
    <w:rsid w:val="00C52FB5"/>
    <w:rsid w:val="00C774EC"/>
    <w:rsid w:val="00C86614"/>
    <w:rsid w:val="00C95F07"/>
    <w:rsid w:val="00CB4A67"/>
    <w:rsid w:val="00CC19D7"/>
    <w:rsid w:val="00CC79BB"/>
    <w:rsid w:val="00CE6A82"/>
    <w:rsid w:val="00D06BD7"/>
    <w:rsid w:val="00D71767"/>
    <w:rsid w:val="00D763C1"/>
    <w:rsid w:val="00D82A40"/>
    <w:rsid w:val="00D92FB8"/>
    <w:rsid w:val="00DB12FA"/>
    <w:rsid w:val="00DD7098"/>
    <w:rsid w:val="00E41954"/>
    <w:rsid w:val="00E61E81"/>
    <w:rsid w:val="00E84B4F"/>
    <w:rsid w:val="00E97678"/>
    <w:rsid w:val="00EA06DE"/>
    <w:rsid w:val="00EB1EEA"/>
    <w:rsid w:val="00EF300A"/>
    <w:rsid w:val="00F02489"/>
    <w:rsid w:val="00F31EBA"/>
    <w:rsid w:val="00F44EA8"/>
    <w:rsid w:val="00F63045"/>
    <w:rsid w:val="00F774E4"/>
    <w:rsid w:val="00FF23F5"/>
    <w:rsid w:val="5F0A1FCA"/>
    <w:rsid w:val="6AF3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character" w:customStyle="1" w:styleId="9">
    <w:name w:val="标题 2 Char"/>
    <w:basedOn w:val="7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标题 3 Char"/>
    <w:basedOn w:val="7"/>
    <w:link w:val="4"/>
    <w:uiPriority w:val="9"/>
    <w:rPr>
      <w:b/>
      <w:bCs/>
      <w:sz w:val="32"/>
      <w:szCs w:val="32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92CEB-B02E-46A9-9B1B-86A2CD6EBB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2067</Words>
  <Characters>2245</Characters>
  <Lines>16</Lines>
  <Paragraphs>4</Paragraphs>
  <TotalTime>0</TotalTime>
  <ScaleCrop>false</ScaleCrop>
  <LinksUpToDate>false</LinksUpToDate>
  <CharactersWithSpaces>2282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2022-03-21T03:00:00Z</dcterms:created>
  <dc:creator>宦翔</dc:creator>
  <cp:lastModifiedBy>齐俊丞</cp:lastModifiedBy>
  <dcterms:modified xsi:type="dcterms:W3CDTF">2024-09-09T02:45:11Z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55F241CCD32D4C08BE5D7C5F229AC8D4_13</vt:lpwstr>
  </property>
</Properties>
</file>