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1BB" w:rsidRDefault="00816533" w:rsidP="00C774EC">
      <w:pPr>
        <w:pStyle w:val="1"/>
        <w:jc w:val="center"/>
      </w:pPr>
      <w:r>
        <w:rPr>
          <w:rFonts w:hint="eastAsia"/>
        </w:rPr>
        <w:t>私募证券投资类基金年</w:t>
      </w:r>
      <w:r w:rsidR="00C774EC" w:rsidRPr="00C774EC">
        <w:rPr>
          <w:rFonts w:hint="eastAsia"/>
        </w:rPr>
        <w:t>度报告</w:t>
      </w:r>
      <w:r w:rsidR="00CB4A67">
        <w:rPr>
          <w:rFonts w:hint="eastAsia"/>
        </w:rPr>
        <w:t>业务规则</w:t>
      </w:r>
    </w:p>
    <w:tbl>
      <w:tblPr>
        <w:tblStyle w:val="a3"/>
        <w:tblW w:w="0" w:type="auto"/>
        <w:tblLook w:val="04A0" w:firstRow="1" w:lastRow="0" w:firstColumn="1" w:lastColumn="0" w:noHBand="0" w:noVBand="1"/>
      </w:tblPr>
      <w:tblGrid>
        <w:gridCol w:w="2117"/>
        <w:gridCol w:w="2137"/>
        <w:gridCol w:w="2052"/>
        <w:gridCol w:w="1990"/>
      </w:tblGrid>
      <w:tr w:rsidR="00CE4979" w:rsidTr="00CE4979">
        <w:tc>
          <w:tcPr>
            <w:tcW w:w="2117" w:type="dxa"/>
          </w:tcPr>
          <w:p w:rsidR="00CE4979" w:rsidRDefault="00CE4979" w:rsidP="00CE4979">
            <w:r>
              <w:rPr>
                <w:rFonts w:hint="eastAsia"/>
              </w:rPr>
              <w:t>版本号（文档版本号）</w:t>
            </w:r>
          </w:p>
        </w:tc>
        <w:tc>
          <w:tcPr>
            <w:tcW w:w="2137" w:type="dxa"/>
          </w:tcPr>
          <w:p w:rsidR="00CE4979" w:rsidRDefault="00CE4979" w:rsidP="00CE4979">
            <w:r>
              <w:rPr>
                <w:rFonts w:hint="eastAsia"/>
              </w:rPr>
              <w:t>最后修订时间</w:t>
            </w:r>
          </w:p>
        </w:tc>
        <w:tc>
          <w:tcPr>
            <w:tcW w:w="2052" w:type="dxa"/>
          </w:tcPr>
          <w:p w:rsidR="00CE4979" w:rsidRDefault="00CE4979" w:rsidP="00CE4979">
            <w:r>
              <w:rPr>
                <w:rFonts w:hint="eastAsia"/>
              </w:rPr>
              <w:t>修订人</w:t>
            </w:r>
          </w:p>
        </w:tc>
        <w:tc>
          <w:tcPr>
            <w:tcW w:w="1990" w:type="dxa"/>
          </w:tcPr>
          <w:p w:rsidR="00CE4979" w:rsidRDefault="00CE4979" w:rsidP="00CE4979">
            <w:r>
              <w:t>修改内容简述</w:t>
            </w:r>
          </w:p>
        </w:tc>
      </w:tr>
      <w:tr w:rsidR="00CE4979" w:rsidTr="00CE4979">
        <w:tc>
          <w:tcPr>
            <w:tcW w:w="2117" w:type="dxa"/>
          </w:tcPr>
          <w:p w:rsidR="00CE4979" w:rsidRDefault="00CE4979" w:rsidP="00CE4979">
            <w:r>
              <w:t>V1.0</w:t>
            </w:r>
          </w:p>
        </w:tc>
        <w:tc>
          <w:tcPr>
            <w:tcW w:w="2137" w:type="dxa"/>
          </w:tcPr>
          <w:p w:rsidR="00CE4979" w:rsidRDefault="00CE4979" w:rsidP="00CE4979">
            <w:r>
              <w:rPr>
                <w:rFonts w:hint="eastAsia"/>
              </w:rPr>
              <w:t>2</w:t>
            </w:r>
            <w:r>
              <w:t>022-5-13</w:t>
            </w:r>
          </w:p>
        </w:tc>
        <w:tc>
          <w:tcPr>
            <w:tcW w:w="2052" w:type="dxa"/>
          </w:tcPr>
          <w:p w:rsidR="00CE4979" w:rsidRDefault="00CE4979" w:rsidP="00CE4979">
            <w:r>
              <w:rPr>
                <w:rFonts w:hint="eastAsia"/>
              </w:rPr>
              <w:t>宦翔</w:t>
            </w:r>
          </w:p>
        </w:tc>
        <w:tc>
          <w:tcPr>
            <w:tcW w:w="1990" w:type="dxa"/>
          </w:tcPr>
          <w:p w:rsidR="00CE4979" w:rsidRDefault="00CE4979" w:rsidP="00CE4979"/>
        </w:tc>
      </w:tr>
      <w:tr w:rsidR="00CE4979" w:rsidTr="00CE4979">
        <w:tc>
          <w:tcPr>
            <w:tcW w:w="2117" w:type="dxa"/>
          </w:tcPr>
          <w:p w:rsidR="00CE4979" w:rsidRDefault="00CE4979" w:rsidP="00CE4979">
            <w:r>
              <w:t>V1.01</w:t>
            </w:r>
          </w:p>
        </w:tc>
        <w:tc>
          <w:tcPr>
            <w:tcW w:w="2137" w:type="dxa"/>
          </w:tcPr>
          <w:p w:rsidR="00CE4979" w:rsidRDefault="00CE4979" w:rsidP="00CE4979">
            <w:r>
              <w:rPr>
                <w:rFonts w:hint="eastAsia"/>
              </w:rPr>
              <w:t>2</w:t>
            </w:r>
            <w:r>
              <w:t>022-6-13</w:t>
            </w:r>
          </w:p>
        </w:tc>
        <w:tc>
          <w:tcPr>
            <w:tcW w:w="2052" w:type="dxa"/>
          </w:tcPr>
          <w:p w:rsidR="00CE4979" w:rsidRDefault="00CE4979" w:rsidP="00CE4979">
            <w:r>
              <w:rPr>
                <w:rFonts w:hint="eastAsia"/>
              </w:rPr>
              <w:t>宦翔</w:t>
            </w:r>
          </w:p>
        </w:tc>
        <w:tc>
          <w:tcPr>
            <w:tcW w:w="1990" w:type="dxa"/>
          </w:tcPr>
          <w:p w:rsidR="00CE4979" w:rsidRDefault="00CE4979" w:rsidP="00CE4979">
            <w:r>
              <w:t>入口文件说明属性前缀修改</w:t>
            </w:r>
          </w:p>
        </w:tc>
      </w:tr>
    </w:tbl>
    <w:p w:rsidR="00C774EC" w:rsidRDefault="00C774EC" w:rsidP="00C774EC"/>
    <w:p w:rsidR="00C774EC" w:rsidRDefault="00C774EC" w:rsidP="00C774EC"/>
    <w:p w:rsidR="00C774EC" w:rsidRDefault="00C774EC" w:rsidP="00C774EC"/>
    <w:p w:rsidR="00C774EC" w:rsidRDefault="00C774EC" w:rsidP="00C774EC">
      <w:pPr>
        <w:pStyle w:val="3"/>
        <w:numPr>
          <w:ilvl w:val="0"/>
          <w:numId w:val="1"/>
        </w:numPr>
      </w:pPr>
      <w:r>
        <w:rPr>
          <w:rFonts w:hint="eastAsia"/>
        </w:rPr>
        <w:t>入口文件说明</w:t>
      </w:r>
    </w:p>
    <w:tbl>
      <w:tblPr>
        <w:tblStyle w:val="a3"/>
        <w:tblW w:w="5000" w:type="pct"/>
        <w:tblLayout w:type="fixed"/>
        <w:tblLook w:val="04A0" w:firstRow="1" w:lastRow="0" w:firstColumn="1" w:lastColumn="0" w:noHBand="0" w:noVBand="1"/>
      </w:tblPr>
      <w:tblGrid>
        <w:gridCol w:w="2066"/>
        <w:gridCol w:w="3741"/>
        <w:gridCol w:w="2489"/>
      </w:tblGrid>
      <w:tr w:rsidR="00FA05E5" w:rsidTr="0028278D">
        <w:tc>
          <w:tcPr>
            <w:tcW w:w="1245" w:type="pct"/>
          </w:tcPr>
          <w:p w:rsidR="00FA05E5" w:rsidRDefault="00FA05E5" w:rsidP="00556C59">
            <w:r>
              <w:rPr>
                <w:rFonts w:hint="eastAsia"/>
              </w:rPr>
              <w:t>属性</w:t>
            </w:r>
          </w:p>
        </w:tc>
        <w:tc>
          <w:tcPr>
            <w:tcW w:w="2255" w:type="pct"/>
          </w:tcPr>
          <w:p w:rsidR="00FA05E5" w:rsidRDefault="00FA05E5" w:rsidP="00556C59">
            <w:r>
              <w:rPr>
                <w:rFonts w:hint="eastAsia"/>
              </w:rPr>
              <w:t>名称</w:t>
            </w:r>
          </w:p>
        </w:tc>
        <w:tc>
          <w:tcPr>
            <w:tcW w:w="1500" w:type="pct"/>
          </w:tcPr>
          <w:p w:rsidR="00FA05E5" w:rsidRDefault="00FA05E5" w:rsidP="00556C59">
            <w:r>
              <w:rPr>
                <w:rFonts w:hint="eastAsia"/>
              </w:rPr>
              <w:t>说明</w:t>
            </w:r>
          </w:p>
        </w:tc>
      </w:tr>
      <w:tr w:rsidR="00FA05E5" w:rsidTr="0028278D">
        <w:tc>
          <w:tcPr>
            <w:tcW w:w="1245" w:type="pct"/>
          </w:tcPr>
          <w:p w:rsidR="00FA05E5" w:rsidRDefault="00FA05E5" w:rsidP="00556C59">
            <w:r>
              <w:rPr>
                <w:rFonts w:hint="eastAsia"/>
              </w:rPr>
              <w:t>XBRL</w:t>
            </w:r>
            <w:r>
              <w:rPr>
                <w:rFonts w:hint="eastAsia"/>
              </w:rPr>
              <w:t>入口地址</w:t>
            </w:r>
          </w:p>
        </w:tc>
        <w:tc>
          <w:tcPr>
            <w:tcW w:w="2255" w:type="pct"/>
          </w:tcPr>
          <w:p w:rsidR="00FA05E5" w:rsidRDefault="00FA05E5" w:rsidP="00556C59">
            <w:r>
              <w:t>http://</w:t>
            </w:r>
            <w:r w:rsidRPr="004B7456">
              <w:t>www.amac.org.cn</w:t>
            </w:r>
            <w:r>
              <w:rPr>
                <w:rFonts w:hint="eastAsia"/>
              </w:rPr>
              <w:t>/</w:t>
            </w:r>
            <w:r>
              <w:t>amac/rd/a</w:t>
            </w:r>
            <w:r w:rsidRPr="00C774EC">
              <w:t>r</w:t>
            </w:r>
            <w:r>
              <w:t>/a</w:t>
            </w:r>
            <w:r w:rsidRPr="00C774EC">
              <w:t>r_amac_2016-03-31.xsd</w:t>
            </w:r>
          </w:p>
        </w:tc>
        <w:tc>
          <w:tcPr>
            <w:tcW w:w="1500" w:type="pct"/>
          </w:tcPr>
          <w:p w:rsidR="00FA05E5" w:rsidRPr="00C774EC" w:rsidRDefault="00FA05E5" w:rsidP="00556C59">
            <w:r>
              <w:t>证券投资类基金年报入口模式文件</w:t>
            </w:r>
          </w:p>
        </w:tc>
      </w:tr>
      <w:tr w:rsidR="00FA05E5" w:rsidTr="0028278D">
        <w:tc>
          <w:tcPr>
            <w:tcW w:w="1245" w:type="pct"/>
          </w:tcPr>
          <w:p w:rsidR="00FA05E5" w:rsidRDefault="00CE4979" w:rsidP="00556C59">
            <w:r>
              <w:t>amac</w:t>
            </w:r>
            <w:bookmarkStart w:id="0" w:name="_GoBack"/>
            <w:bookmarkEnd w:id="0"/>
            <w:r w:rsidR="00FA05E5">
              <w:t>:TemplateVersion</w:t>
            </w:r>
          </w:p>
        </w:tc>
        <w:tc>
          <w:tcPr>
            <w:tcW w:w="2255" w:type="pct"/>
          </w:tcPr>
          <w:p w:rsidR="00FA05E5" w:rsidRDefault="00FA05E5" w:rsidP="00556C59">
            <w:r>
              <w:t>v</w:t>
            </w:r>
            <w:r>
              <w:rPr>
                <w:rFonts w:hint="eastAsia"/>
              </w:rPr>
              <w:t>1</w:t>
            </w:r>
            <w:r>
              <w:t>.0</w:t>
            </w:r>
          </w:p>
        </w:tc>
        <w:tc>
          <w:tcPr>
            <w:tcW w:w="1500" w:type="pct"/>
          </w:tcPr>
          <w:p w:rsidR="00FA05E5" w:rsidRDefault="00FA05E5" w:rsidP="00556C59">
            <w:r>
              <w:rPr>
                <w:rFonts w:hint="eastAsia"/>
              </w:rPr>
              <w:t>X</w:t>
            </w:r>
            <w:r>
              <w:t>BRL</w:t>
            </w:r>
            <w:r>
              <w:rPr>
                <w:rFonts w:hint="eastAsia"/>
              </w:rPr>
              <w:t>、</w:t>
            </w:r>
            <w:r>
              <w:rPr>
                <w:rFonts w:hint="eastAsia"/>
              </w:rPr>
              <w:t>JSON</w:t>
            </w:r>
            <w:r>
              <w:rPr>
                <w:rFonts w:hint="eastAsia"/>
              </w:rPr>
              <w:t>直连报送版本号信息</w:t>
            </w:r>
          </w:p>
        </w:tc>
      </w:tr>
    </w:tbl>
    <w:p w:rsidR="00FA05E5" w:rsidRPr="00FA05E5" w:rsidRDefault="00FA05E5" w:rsidP="00C774EC"/>
    <w:p w:rsidR="00EF300A" w:rsidRDefault="00EF300A" w:rsidP="00C774EC"/>
    <w:p w:rsidR="00EF300A" w:rsidRDefault="00EF300A" w:rsidP="00275F92">
      <w:pPr>
        <w:pStyle w:val="3"/>
        <w:numPr>
          <w:ilvl w:val="0"/>
          <w:numId w:val="1"/>
        </w:numPr>
      </w:pPr>
      <w:r>
        <w:rPr>
          <w:rFonts w:hint="eastAsia"/>
        </w:rPr>
        <w:t>业务规则说明</w:t>
      </w:r>
    </w:p>
    <w:tbl>
      <w:tblPr>
        <w:tblW w:w="8340" w:type="dxa"/>
        <w:tblLook w:val="04A0" w:firstRow="1" w:lastRow="0" w:firstColumn="1" w:lastColumn="0" w:noHBand="0" w:noVBand="1"/>
      </w:tblPr>
      <w:tblGrid>
        <w:gridCol w:w="2460"/>
        <w:gridCol w:w="2880"/>
        <w:gridCol w:w="3000"/>
      </w:tblGrid>
      <w:tr w:rsidR="00816533" w:rsidRPr="00816533" w:rsidTr="00816533">
        <w:trPr>
          <w:trHeight w:val="255"/>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章节号</w:t>
            </w:r>
          </w:p>
        </w:tc>
        <w:tc>
          <w:tcPr>
            <w:tcW w:w="2880" w:type="dxa"/>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科目名</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校验规则</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1.1 基金基本情况</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基金编号</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基金运作方式</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基金成立日期</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基金管理人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基金托管人（如有）</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投资顾问（如有）</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报告期末基金份额总额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基金到期日期</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1.2 基金产品说明</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投资目标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投资策略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业绩比较基准（如有）</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风险收益特征</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82"/>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1.3 基金管理人和基金托管人</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基金管理人</w:t>
            </w:r>
          </w:p>
        </w:tc>
      </w:tr>
      <w:tr w:rsidR="00816533" w:rsidRPr="00816533" w:rsidTr="00816533">
        <w:trPr>
          <w:trHeight w:val="282"/>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信息披露负责人-姓名</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信息披露负责人-联系电话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信息披露负责人-电子邮箱</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传真</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注册地址</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办公地址</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邮政编码</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法定代表人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FF0000"/>
                <w:kern w:val="0"/>
                <w:szCs w:val="21"/>
              </w:rPr>
              <w:t>已降为警告</w:t>
            </w:r>
            <w:r w:rsidRPr="00816533">
              <w:rPr>
                <w:rFonts w:ascii="宋体" w:eastAsia="宋体" w:hAnsi="宋体" w:cs="宋体" w:hint="eastAsia"/>
                <w:color w:val="000000"/>
                <w:kern w:val="0"/>
                <w:szCs w:val="21"/>
              </w:rPr>
              <w:t>)</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基金托管人</w:t>
            </w:r>
          </w:p>
        </w:tc>
      </w:tr>
      <w:tr w:rsidR="00816533" w:rsidRPr="00816533" w:rsidTr="00816533">
        <w:trPr>
          <w:trHeight w:val="282"/>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信息披露负责人-姓名</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信息披露负责人-联系电话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信息披露负责人-电子邮箱</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传真</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注册地址</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办公地址</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邮政编码</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法定代表人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1.4 信息披露方式</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55"/>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1.5 其他相关资料</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名称</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会计师事务所</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注册登记机构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外包机构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tuple行</w:t>
            </w:r>
            <w:r w:rsidRPr="00816533">
              <w:rPr>
                <w:rFonts w:ascii="宋体" w:eastAsia="宋体" w:hAnsi="宋体" w:cs="宋体" w:hint="eastAsia"/>
                <w:color w:val="000000"/>
                <w:kern w:val="0"/>
                <w:szCs w:val="21"/>
              </w:rPr>
              <w:br/>
              <w:t>v_pf_1120.P1120_0010</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办公地址</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会计师事务所</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注册登记机构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外包机构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tuple行</w:t>
            </w:r>
            <w:r w:rsidRPr="00816533">
              <w:rPr>
                <w:rFonts w:ascii="宋体" w:eastAsia="宋体" w:hAnsi="宋体" w:cs="宋体" w:hint="eastAsia"/>
                <w:color w:val="000000"/>
                <w:kern w:val="0"/>
                <w:szCs w:val="21"/>
              </w:rPr>
              <w:br/>
              <w:t>v_pf_1120.P1120_0010</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55"/>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2.1</w:t>
            </w:r>
            <w:r w:rsidRPr="00816533">
              <w:rPr>
                <w:rFonts w:ascii="Times New Roman" w:eastAsia="宋体" w:hAnsi="Times New Roman" w:cs="Times New Roman"/>
                <w:color w:val="000000"/>
                <w:kern w:val="0"/>
                <w:szCs w:val="21"/>
              </w:rPr>
              <w:t xml:space="preserve">  </w:t>
            </w:r>
            <w:r w:rsidRPr="00816533">
              <w:rPr>
                <w:rFonts w:ascii="宋体" w:eastAsia="宋体" w:hAnsi="宋体" w:cs="宋体" w:hint="eastAsia"/>
                <w:color w:val="000000"/>
                <w:kern w:val="0"/>
                <w:szCs w:val="21"/>
              </w:rPr>
              <w:t>主要会计数据和财务指标</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本期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上上期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主要会计数据和财务指标备注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一级分级基金</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本期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上上期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二级分级基金</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本期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上上期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三级分级基金</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本期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上上期</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期间数据和指标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本期已实现收益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期末数据和指标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期末可供分配基金份额利润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期末基金份额净值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累计期末指标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基金份额累计净值增长率（%）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2.2 基金净值表现</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阶段</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净值增长率标准差（%）</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业绩比较基准收益率（%）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业绩比较基准收益率标准差（%）</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基金净值表现备注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一级分级基金</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阶段</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净值增长率标准差（%）</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业绩比较基准收益率（%）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业绩比较基准收益率标准差（%）</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二级分级基金</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阶段</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净值增长率标准差（%）</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业绩比较基准收益率（%）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业绩比较基准收益率标准差（%）</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三级分级基金</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阶段</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净值增长率（%）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净值增长率标准差（%）</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业绩比较基准收益率（%）</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业绩比较基准收益率标准差（%）</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2.3 过去三年基金的利润分配情况</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年度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每份基金份额分红数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现金形式发放总额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再投资形式发放总额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年度利润分配合计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过去三年基金的利润分配情况总备注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一级分级基金</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年度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每份基金份额分红数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现金形式发放总额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再投资形式发放总额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年度利润分配合计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二级分级基金</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年度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每份基金份额分红数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现金形式发放总额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再投资形式发放总额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年度利润分配合计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三级分级基金</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年度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每份基金份额分红数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现金形式发放总额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再投资形式发放总额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年度利润分配合计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3、 基金份额变动情况</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报告期期初基金份额总额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报告期期间基金总申购份额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减：报告期期间基金总赎回份额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报告期期间基金拆分变动份额（份额减少以“-”填列）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127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报告期期末基金份额总额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2、合计=期初基金份额总额+期间基金总申购份额-期间基金总赎回份额+期间基金拆分变动份额</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基金份额变动情况备注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一级分级基金</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报告期期初基金份额总额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报告期期间基金总申购份额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减：报告期期间基金总赎回份额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报告期期间基金拆分变动份额（份额减少以“-”填列）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报告期期末基金份额总额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合计=期初基金份额总额+期间基金总申购份额-期间基金总赎回份额+期间基金拆分变动份额</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二级分级基金</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报告期期初基金份额总额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报告期期间基金总申购份额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减：报告期期间基金总赎回份额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报告期期间基金拆分变动份额（份额减少以“-”填列）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报告期期末基金份额总额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合计=期初基金份额总额+期间基金总申购份额-期间基金总赎回份额+期间基金拆分变动份额</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三级分级基金</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报告期期初基金份额总额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报告期期间基金总申购份额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减：报告期期间基金总赎回份额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报告期期间基金拆分变动份额（份额减少以“-”填列）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报告期期末基金份额总额</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合计=期初基金份额总额+期间基金总申购份额-期间基金总赎回份额+期间基金拆分变动份额</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分级基金分级名称</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51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4、 管理人说明的其他情况</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管理人报告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51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5、 托管人报告（如有）</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5.1 报告期内本基金托管人遵规守信情况声明</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5.2 托管人对报告期内本基金投资运作遵规守信、净值计算、利润分配等情况的说明</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5.3 托管人对本年度报告中财务信息等内容的真实、准确和完整发表意见</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55"/>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6.1 资产负债表</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本期</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银行存款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结算备付金</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存出保证金</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交易性金融资产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其中：股票投资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基金投资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债券投资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资产支持证券投资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贵金属投资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衍生金融资产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买入返售金融资产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应收证券清算款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应收利息</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应收股利</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应收申购款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递延所得税资产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其他资产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178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资产总计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2、合计=银行存款+结算备付金+存出保证金+交易性金融资产+衍生金融资产+买入返售金融资产+应收证券清算款+应收利息+应收股利+应收申购款+递延所得税资产+其他资产</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负债和所有者权益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负债：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短期借款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交易性金融负债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衍生金融负债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卖出回购金融资产款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应付证券清算款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应付赎回款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应付管理人报酬</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应付托管费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应付销售服务费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应付交易费用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应交税费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应付利息</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递延所得税负债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其他负债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29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负债合计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短期借款+交易性金融负债+衍生金融负债+卖出回购金融资产款+应付证券清算款+应付赎回款+应付管理人报酬+应付托管费+应付销售服务费+应付交易费用+应交税费+应付利息+应付利润+递延所得税负债+其他负债</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所有者权益：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实收基金</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未分配利润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所有者权益合计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2、合计=实收基金+未分配利润</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负债和所有者权益总计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2、合计=负债合计+所有者权益合计</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上期</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银行存款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结算备付金</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存出保证金</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交易性金融资产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其中：股票投资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基金投资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债券投资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资产支持证券投资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贵金属投资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衍生金融资产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买入返售金融资产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应收证券清算款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应收利息</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应收股利</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应收申购款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递延所得税资产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其他资产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153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资产总计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合计=银行存款+结算备付金+存出保证金+交易性金融资产+衍生金融资产+买入返售金融资产+应收证券清算款+应收利息+应收股利+应收申购款+递延所得税资产+其他资产</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负债和所有者权益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负债：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短期借款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交易性金融负债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衍生金融负债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卖出回购金融资产款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应付证券清算款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应付赎回款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应付管理人报酬</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应付托管费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应付销售服务费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应付交易费用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应交税费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应付利息</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应付利润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递延所得税负债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其他负债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04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负债合计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合计=短期借款+交易性金融负债+衍生金融负债+卖出回购金融资产款+应付证券清算款+应付赎回款+应付管理人报酬+应付托管费+应付销售服务费+应付交易费用+应交税费+应付利息+应付利润+递延所得税负债+其他负债</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所有者权益：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实收基金</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未分配利润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所有者权益合计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合计=实收基金+未分配利润</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负债和所有者权益总计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合计=负债合计+所有者权益合计</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资产负债表备注</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55"/>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6.2 利润表</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本期</w:t>
            </w:r>
          </w:p>
        </w:tc>
      </w:tr>
      <w:tr w:rsidR="00816533" w:rsidRPr="00816533" w:rsidTr="00816533">
        <w:trPr>
          <w:trHeight w:val="102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一、收入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2、合计=利息收入+投资收益+公允价值变动收益+汇兑收益+其他收入</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1.利息收入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其中：存款利息收入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债券利息收入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资产支持证券利息收入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买入返售金融资产收入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其他利息收入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2.投资收益（损失以“-”填列）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其中：股票投资收益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基金投资收益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债券投资收益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资产支持证券投资收益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贵金属投资收益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衍生工具收益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股利收益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3.公允价值变动收益（损失以“-”填列）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4.汇兑收益（损失以“-”填列）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5.其他收入（损失以“-”填列）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102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减：二、费用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2、合计=管理人报酬+托管费+销售服务费+外包服务费+交易费用+利息支出+其他费用</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1．管理人报酬</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2、大于等于固定管理费+业绩报酬</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其中：固定管理费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业绩报酬</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2．托管费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3．销售服务费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4. 外包服务费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5．交易费用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6．利息支出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其中：卖出回购金融资产支出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7．其他费用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三、利润总额（亏损总额以“-”号填列）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2、合计=收入合计-费用合计</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减：所得税费用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四、净利润（净亏损以“-”号填列）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2、合计=利润总额-所得税费用</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上年度可比期间</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一、收入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合计=利息收入+投资收益+公允价值变动收益+汇兑收益+其他收入</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1.利息收入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其中：存款利息收入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债券利息收入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资产支持证券利息收入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买入返售金融资产收入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其他利息收入</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2.投资收益（损失以“-”填列）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其中：股票投资收益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基金投资收益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债券投资收益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资产支持证券投资收益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贵金属投资收益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衍生工具收益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股利收益</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3.公允价值变动收益（损失以“-”填列）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4.汇兑收益（损失以“-”填列）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5.其他收入（损失以“-”填列）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减：二、费用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合计=管理人报酬+托管费+销售服务费+外包服务费+交易费用+利息支出+其他费用</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1．管理人报酬</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大于等于固定管理费+业绩报酬</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其中：固定管理费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业绩报酬</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2．托管费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3．销售服务费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4. 外包服务费</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5．交易费用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6．利息支出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其中：卖出回购金融资产支出</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7．其他费用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三、利润总额（亏损总额以“-”号填列）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合计=收入合计-费用合计</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减：所得税费用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四、净利润（净亏损以“-”号填列）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合计=利润总额-所得税费用</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利润表备注</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540"/>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lastRenderedPageBreak/>
              <w:t>6.3 所有者权益变动表</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本期-实收基金</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一、期初所有者权益（基金净值）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二、本期经营活动产生的基金净值变动数（本期利润）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三、本期基金份额交易产生的基金净值变动数（净值减少以“-”号填列）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其中：1.基金申购款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2.基金赎回款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四、本期向基金份额持有人分配利润产生的基金净值变动（净值减少以“-”号填列）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五、期末所有者权益（基金净值）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本期-未分配利润</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一、期初所有者权益（基金净值）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二、本期经营活动产生的基金净值变动数（本期利润）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三、本期基金份额交易产生的基金净值变动数（净值减少以“-”号填列）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其中：1.基金申购款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2.基金赎回款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四、本期向基金份额持有人分配利润产生的基金净值变动（净值减少以“-”号填列）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五、期末所有者权益（基金净值）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本期-所有者权益合计</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一、期初所有者权益（基金净值）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二、本期经营活动产生的基金净值变动数（本期利润）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三、本期基金份额交易产生的基金净值变动数（净值减少以“-”号填列）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其中：1.基金申购款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2.基金赎回款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四、本期向基金份额持有人分配利润产生的基金净值变动（净值减少以“-”号填列）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04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五、期末所有者权益（基金净值）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2、合计=实收基金+未分配利润</w:t>
            </w:r>
            <w:r w:rsidRPr="00816533">
              <w:rPr>
                <w:rFonts w:ascii="宋体" w:eastAsia="宋体" w:hAnsi="宋体" w:cs="宋体" w:hint="eastAsia"/>
                <w:color w:val="000000"/>
                <w:kern w:val="0"/>
                <w:szCs w:val="21"/>
              </w:rPr>
              <w:br/>
              <w:t>3、合计2=期初所有者权益+本期经营活动产生的基金净值变动数+本期基金份额交易产生的基金净值变动数本期向基金份额持有人分配利润产生的基金净值变动</w:t>
            </w:r>
          </w:p>
        </w:tc>
      </w:tr>
      <w:tr w:rsidR="00816533" w:rsidRPr="00816533" w:rsidTr="00816533">
        <w:trPr>
          <w:trHeight w:val="8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上年度可比期间-实收基金</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一、期初所有者权益（基金净值）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二、本期经营活动产生的基金净值变动数（本期利润）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三、本期基金份额交易产生的基金净值变动数（净值减少以“-”号填列）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其中：1.基金申购款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2.基金赎回款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四、本期向基金份额持有人分配利润产生的基金净值变动（净值减少以“-”号填列）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五、期末所有者权益（基金净值）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上年度可比期间-未分配利润</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一、期初所有者权益（基金净值）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二、本期经营活动产生的基金净值变动数（本期利润）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三、本期基金份额交易产生的基金净值变动数（净值减少以“-”号填列）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其中：1.基金申购款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2.基金赎回款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四、本期向基金份额持有人分配利润产生的基金净值变</w:t>
            </w:r>
            <w:r w:rsidRPr="00816533">
              <w:rPr>
                <w:rFonts w:ascii="宋体" w:eastAsia="宋体" w:hAnsi="宋体" w:cs="宋体" w:hint="eastAsia"/>
                <w:color w:val="000000"/>
                <w:kern w:val="0"/>
                <w:szCs w:val="21"/>
              </w:rPr>
              <w:lastRenderedPageBreak/>
              <w:t>动（净值减少以“-”号填列）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lastRenderedPageBreak/>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五、期末所有者权益（基金净值）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上年度可比期间-所有者权益合计</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一、期初所有者权益（基金净值）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二、本期经营活动产生的基金净值变动数（本期利润）</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三、本期基金份额交易产生的基金净值变动数（净值减少以“-”号填列）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其中：1.基金申购款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2.基金赎回款</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四、本期向基金份额持有人分配利润产生的基金净值变动（净值减少以“-”号填列）</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五、期末所有者权益（基金净值）</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342"/>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所有者权益变动表备注</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82"/>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7.1</w:t>
            </w:r>
            <w:r w:rsidRPr="00816533">
              <w:rPr>
                <w:rFonts w:ascii="Times New Roman" w:eastAsia="宋体" w:hAnsi="Times New Roman" w:cs="Times New Roman"/>
                <w:color w:val="000000"/>
                <w:kern w:val="0"/>
                <w:szCs w:val="21"/>
              </w:rPr>
              <w:t xml:space="preserve">  </w:t>
            </w:r>
            <w:r w:rsidRPr="00816533">
              <w:rPr>
                <w:rFonts w:ascii="宋体" w:eastAsia="宋体" w:hAnsi="宋体" w:cs="宋体" w:hint="eastAsia"/>
                <w:color w:val="000000"/>
                <w:kern w:val="0"/>
                <w:szCs w:val="21"/>
              </w:rPr>
              <w:t>期末基金资产组合情况</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金额</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币种</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权益投资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其中：普通股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2、≥境内公允价值合计+港股通公允价值合计</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存托凭证</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固定收益投资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其中：债券</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资产支持证券</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金融衍生品投资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其中：远期</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期货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期权</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权证</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买入返售金融资产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其中：买断式回购的买入返售金融资产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货币市场工具</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银行存款和结算备付金合计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102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333399"/>
                <w:kern w:val="0"/>
                <w:szCs w:val="21"/>
              </w:rPr>
            </w:pPr>
            <w:r w:rsidRPr="00816533">
              <w:rPr>
                <w:rFonts w:ascii="宋体" w:eastAsia="宋体" w:hAnsi="宋体" w:cs="宋体" w:hint="eastAsia"/>
                <w:color w:val="333399"/>
                <w:kern w:val="0"/>
                <w:szCs w:val="21"/>
              </w:rPr>
              <w:t>新增行v_1060.P1060_0010(名称)</w:t>
            </w:r>
            <w:r w:rsidRPr="00816533">
              <w:rPr>
                <w:rFonts w:ascii="宋体" w:eastAsia="宋体" w:hAnsi="宋体" w:cs="宋体" w:hint="eastAsia"/>
                <w:color w:val="333399"/>
                <w:kern w:val="0"/>
                <w:szCs w:val="21"/>
              </w:rPr>
              <w:br/>
              <w:t>v_pf_1060.P1060_0040(序号))</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153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2、合计=权益投资+基金投资+固定收益投资+金融衍生品投资+买入返售金融资产+货币市场工具+银行存款和结算备付金合计+新增行tuple</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占基金总资产的</w:t>
            </w:r>
            <w:r w:rsidRPr="00816533">
              <w:rPr>
                <w:rFonts w:ascii="宋体" w:eastAsia="宋体" w:hAnsi="宋体" w:cs="宋体" w:hint="eastAsia"/>
                <w:color w:val="FF0000"/>
                <w:kern w:val="0"/>
                <w:szCs w:val="21"/>
              </w:rPr>
              <w:br/>
              <w:t>比例（%）</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权益投资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其中：普通股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存托凭证</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基金投资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固定收益投资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其中：债券</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资产支持证券</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金融衍生品投资</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其中：远期</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期货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期权</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权证</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买入返售金融资产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其中：买断式回购的买入返售金融资产</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货币市场工具</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银行存款和结算备付金合计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76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333399"/>
                <w:kern w:val="0"/>
                <w:szCs w:val="21"/>
              </w:rPr>
            </w:pPr>
            <w:r w:rsidRPr="00816533">
              <w:rPr>
                <w:rFonts w:ascii="宋体" w:eastAsia="宋体" w:hAnsi="宋体" w:cs="宋体" w:hint="eastAsia"/>
                <w:color w:val="333399"/>
                <w:kern w:val="0"/>
                <w:szCs w:val="21"/>
              </w:rPr>
              <w:t>新增行v_1060.P1060_0010(名称)</w:t>
            </w:r>
            <w:r w:rsidRPr="00816533">
              <w:rPr>
                <w:rFonts w:ascii="宋体" w:eastAsia="宋体" w:hAnsi="宋体" w:cs="宋体" w:hint="eastAsia"/>
                <w:color w:val="333399"/>
                <w:kern w:val="0"/>
                <w:szCs w:val="21"/>
              </w:rPr>
              <w:br/>
              <w:t>v_pf_1060.P1060_0040(序号)</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期末基金资产组合情况备注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55"/>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7.2.1 报告期末按行业分类的境内股票投资组合</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公允价值</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农、林、牧、渔业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采矿业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制造业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电力、热力、燃气及水生产和供应业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建筑业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批发和零售业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交通运输、仓储和邮政业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住宿和餐饮业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信息传输、软件和信息技术服务业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金融业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房地产业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租赁和商务服务业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科学研究和技术服务业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水利、环境和公共设施管理业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居民服务、修理和其他服务业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教育</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卫生和社会工作</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文化、体育和娱乐业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综合</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331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1、必填</w:t>
            </w:r>
            <w:r w:rsidRPr="00816533">
              <w:rPr>
                <w:rFonts w:ascii="宋体" w:eastAsia="宋体" w:hAnsi="宋体" w:cs="宋体" w:hint="eastAsia"/>
                <w:color w:val="000000"/>
                <w:kern w:val="0"/>
                <w:szCs w:val="21"/>
              </w:rPr>
              <w:br/>
              <w:t>2、合计=农、林、牧、渔业+采矿业+制造业+电力、热力、燃气及水生产和供应业+建筑业+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综合</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占基金资产净值比例（%）</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农、林、牧、渔业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采矿业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制造业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电力、热力、燃气及水生产和供应业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建筑业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批发和零售业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交通运输、仓储和邮政业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住宿和餐饮业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信息传输、软件和信息技术服务业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金融业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房地产业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租赁和商务服务业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科学研究和技术服务业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水利、环境和公共设施管理业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居民服务、修理和其他服务业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教育</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卫生和社会工作</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文化、体育和娱乐业</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综合</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b/>
                <w:bCs/>
                <w:color w:val="000000"/>
                <w:kern w:val="0"/>
                <w:szCs w:val="21"/>
              </w:rPr>
            </w:pPr>
            <w:r w:rsidRPr="00816533">
              <w:rPr>
                <w:rFonts w:ascii="宋体" w:eastAsia="宋体" w:hAnsi="宋体" w:cs="宋体" w:hint="eastAsia"/>
                <w:b/>
                <w:bCs/>
                <w:color w:val="000000"/>
                <w:kern w:val="0"/>
                <w:szCs w:val="21"/>
              </w:rPr>
              <w:t>合计</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rPr>
                <w:rFonts w:ascii="宋体" w:eastAsia="宋体" w:hAnsi="宋体" w:cs="宋体"/>
                <w:color w:val="000000"/>
                <w:kern w:val="0"/>
                <w:szCs w:val="21"/>
              </w:rPr>
            </w:pPr>
            <w:r w:rsidRPr="00816533">
              <w:rPr>
                <w:rFonts w:ascii="宋体" w:eastAsia="宋体" w:hAnsi="宋体" w:cs="宋体" w:hint="eastAsia"/>
                <w:color w:val="000000"/>
                <w:kern w:val="0"/>
                <w:szCs w:val="21"/>
              </w:rPr>
              <w:t>报告期末按行业分类的股票投资组合备注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55"/>
        </w:trPr>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7.2.2 报告期末按行业分类的港股通投资股票投资组合</w:t>
            </w: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tuple行</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行业类别</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公允价值（人民币）</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占基金资产净值比例（%）</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5880" w:type="dxa"/>
            <w:gridSpan w:val="2"/>
            <w:tcBorders>
              <w:top w:val="single" w:sz="4" w:space="0" w:color="auto"/>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center"/>
              <w:rPr>
                <w:rFonts w:ascii="宋体" w:eastAsia="宋体" w:hAnsi="宋体" w:cs="宋体"/>
                <w:color w:val="FF0000"/>
                <w:kern w:val="0"/>
                <w:szCs w:val="21"/>
              </w:rPr>
            </w:pPr>
            <w:r w:rsidRPr="00816533">
              <w:rPr>
                <w:rFonts w:ascii="宋体" w:eastAsia="宋体" w:hAnsi="宋体" w:cs="宋体" w:hint="eastAsia"/>
                <w:color w:val="FF0000"/>
                <w:kern w:val="0"/>
                <w:szCs w:val="21"/>
              </w:rPr>
              <w:t>合计</w:t>
            </w:r>
          </w:p>
        </w:tc>
      </w:tr>
      <w:tr w:rsidR="00816533" w:rsidRPr="00816533" w:rsidTr="00816533">
        <w:trPr>
          <w:trHeight w:val="255"/>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行业类别</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公允价值（人民币）</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合计=tuple行加总</w:t>
            </w:r>
          </w:p>
        </w:tc>
      </w:tr>
      <w:tr w:rsidR="00816533" w:rsidRPr="00816533" w:rsidTr="00816533">
        <w:trPr>
          <w:trHeight w:val="27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占基金资产净值比例（%）</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510"/>
        </w:trPr>
        <w:tc>
          <w:tcPr>
            <w:tcW w:w="2460" w:type="dxa"/>
            <w:vMerge/>
            <w:tcBorders>
              <w:top w:val="nil"/>
              <w:left w:val="single" w:sz="4" w:space="0" w:color="auto"/>
              <w:bottom w:val="single" w:sz="4" w:space="0" w:color="auto"/>
              <w:right w:val="single" w:sz="4" w:space="0" w:color="auto"/>
            </w:tcBorders>
            <w:vAlign w:val="center"/>
            <w:hideMark/>
          </w:tcPr>
          <w:p w:rsidR="00816533" w:rsidRPr="00816533" w:rsidRDefault="00816533" w:rsidP="00816533">
            <w:pPr>
              <w:widowControl/>
              <w:jc w:val="left"/>
              <w:rPr>
                <w:rFonts w:ascii="宋体" w:eastAsia="宋体" w:hAnsi="宋体" w:cs="宋体"/>
                <w:color w:val="000000"/>
                <w:kern w:val="0"/>
                <w:szCs w:val="21"/>
              </w:rPr>
            </w:pP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报告期末按行业分类的港股通股票投资组合备注</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无</w:t>
            </w:r>
          </w:p>
        </w:tc>
      </w:tr>
      <w:tr w:rsidR="00816533" w:rsidRPr="00816533" w:rsidTr="00816533">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r>
      <w:tr w:rsidR="00816533" w:rsidRPr="00816533" w:rsidTr="00816533">
        <w:trPr>
          <w:trHeight w:val="765"/>
        </w:trPr>
        <w:tc>
          <w:tcPr>
            <w:tcW w:w="53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8、信息披露报告（必填）</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必须上传相关附件(pdf)</w:t>
            </w:r>
            <w:r w:rsidRPr="00816533">
              <w:rPr>
                <w:rFonts w:ascii="宋体" w:eastAsia="宋体" w:hAnsi="宋体" w:cs="宋体" w:hint="eastAsia"/>
                <w:color w:val="000000"/>
                <w:kern w:val="0"/>
                <w:szCs w:val="21"/>
              </w:rPr>
              <w:br/>
              <w:t>1、管理人向投资者披露的信息披露报告</w:t>
            </w:r>
          </w:p>
        </w:tc>
      </w:tr>
      <w:tr w:rsidR="00816533" w:rsidRPr="00816533" w:rsidTr="00816533">
        <w:trPr>
          <w:trHeight w:val="76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 xml:space="preserve">　</w:t>
            </w:r>
          </w:p>
        </w:tc>
        <w:tc>
          <w:tcPr>
            <w:tcW w:w="288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br/>
              <w:t>报告是否经托管机构复核：250</w:t>
            </w:r>
          </w:p>
        </w:tc>
        <w:tc>
          <w:tcPr>
            <w:tcW w:w="3000" w:type="dxa"/>
            <w:tcBorders>
              <w:top w:val="nil"/>
              <w:left w:val="nil"/>
              <w:bottom w:val="single" w:sz="4" w:space="0" w:color="auto"/>
              <w:right w:val="single" w:sz="4" w:space="0" w:color="auto"/>
            </w:tcBorders>
            <w:shd w:val="clear" w:color="auto" w:fill="auto"/>
            <w:vAlign w:val="center"/>
            <w:hideMark/>
          </w:tcPr>
          <w:p w:rsidR="00816533" w:rsidRPr="00816533" w:rsidRDefault="00816533" w:rsidP="00816533">
            <w:pPr>
              <w:widowControl/>
              <w:jc w:val="left"/>
              <w:rPr>
                <w:rFonts w:ascii="宋体" w:eastAsia="宋体" w:hAnsi="宋体" w:cs="宋体"/>
                <w:color w:val="000000"/>
                <w:kern w:val="0"/>
                <w:szCs w:val="21"/>
              </w:rPr>
            </w:pPr>
            <w:r w:rsidRPr="00816533">
              <w:rPr>
                <w:rFonts w:ascii="宋体" w:eastAsia="宋体" w:hAnsi="宋体" w:cs="宋体" w:hint="eastAsia"/>
                <w:color w:val="000000"/>
                <w:kern w:val="0"/>
                <w:szCs w:val="21"/>
              </w:rPr>
              <w:t>必填</w:t>
            </w:r>
          </w:p>
        </w:tc>
      </w:tr>
    </w:tbl>
    <w:p w:rsidR="00275F92" w:rsidRDefault="00275F92" w:rsidP="00275F92"/>
    <w:p w:rsidR="00275F92" w:rsidRDefault="00275F92" w:rsidP="00275F92"/>
    <w:p w:rsidR="00275F92" w:rsidRDefault="00275F92" w:rsidP="00275F92"/>
    <w:p w:rsidR="00275F92" w:rsidRDefault="00275F92" w:rsidP="00275F92"/>
    <w:p w:rsidR="00275F92" w:rsidRDefault="00275F92" w:rsidP="00275F92"/>
    <w:p w:rsidR="00275F92" w:rsidRDefault="00275F92" w:rsidP="00275F92"/>
    <w:p w:rsidR="00275F92" w:rsidRDefault="00275F92" w:rsidP="00275F92">
      <w:pPr>
        <w:pStyle w:val="3"/>
        <w:numPr>
          <w:ilvl w:val="0"/>
          <w:numId w:val="1"/>
        </w:numPr>
      </w:pPr>
      <w:r>
        <w:rPr>
          <w:rFonts w:hint="eastAsia"/>
        </w:rPr>
        <w:t>其他内容</w:t>
      </w:r>
    </w:p>
    <w:p w:rsidR="00C32C70" w:rsidRDefault="00C32C70" w:rsidP="00C32C70">
      <w:r>
        <w:rPr>
          <w:rFonts w:hint="eastAsia"/>
        </w:rPr>
        <w:t>暂无待补充</w:t>
      </w:r>
    </w:p>
    <w:p w:rsidR="00275F92" w:rsidRDefault="00275F92" w:rsidP="00275F92"/>
    <w:p w:rsidR="00275F92" w:rsidRDefault="00275F92" w:rsidP="00275F92"/>
    <w:p w:rsidR="00275F92" w:rsidRDefault="00275F92" w:rsidP="00275F92"/>
    <w:p w:rsidR="00275F92" w:rsidRPr="00275F92" w:rsidRDefault="00275F92" w:rsidP="00275F92"/>
    <w:sectPr w:rsidR="00275F92" w:rsidRPr="00275F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51360"/>
    <w:multiLevelType w:val="hybridMultilevel"/>
    <w:tmpl w:val="B4128A08"/>
    <w:lvl w:ilvl="0" w:tplc="2144AA6E">
      <w:start w:val="1"/>
      <w:numFmt w:val="decimal"/>
      <w:lvlText w:val="%1、"/>
      <w:lvlJc w:val="left"/>
      <w:pPr>
        <w:ind w:left="495" w:hanging="4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8A"/>
    <w:rsid w:val="000109C3"/>
    <w:rsid w:val="000275F4"/>
    <w:rsid w:val="000728D5"/>
    <w:rsid w:val="00096E25"/>
    <w:rsid w:val="000E0E41"/>
    <w:rsid w:val="000F7EC4"/>
    <w:rsid w:val="00151B36"/>
    <w:rsid w:val="00185A11"/>
    <w:rsid w:val="001A2E91"/>
    <w:rsid w:val="001B3D55"/>
    <w:rsid w:val="001C68B5"/>
    <w:rsid w:val="001F6F07"/>
    <w:rsid w:val="001F7012"/>
    <w:rsid w:val="00275F92"/>
    <w:rsid w:val="0028278D"/>
    <w:rsid w:val="00294694"/>
    <w:rsid w:val="002F33EE"/>
    <w:rsid w:val="002F3874"/>
    <w:rsid w:val="00381A49"/>
    <w:rsid w:val="00385BE3"/>
    <w:rsid w:val="003B185F"/>
    <w:rsid w:val="003D071B"/>
    <w:rsid w:val="00455FEE"/>
    <w:rsid w:val="00465101"/>
    <w:rsid w:val="00465D15"/>
    <w:rsid w:val="004A01E3"/>
    <w:rsid w:val="004B333F"/>
    <w:rsid w:val="004E40CE"/>
    <w:rsid w:val="005113CD"/>
    <w:rsid w:val="0051488C"/>
    <w:rsid w:val="00527F1D"/>
    <w:rsid w:val="005441FB"/>
    <w:rsid w:val="00557937"/>
    <w:rsid w:val="005B0ECF"/>
    <w:rsid w:val="005D1E76"/>
    <w:rsid w:val="005E619F"/>
    <w:rsid w:val="00607CEB"/>
    <w:rsid w:val="0062009B"/>
    <w:rsid w:val="00625033"/>
    <w:rsid w:val="00630CB6"/>
    <w:rsid w:val="00641B9E"/>
    <w:rsid w:val="00662581"/>
    <w:rsid w:val="00672635"/>
    <w:rsid w:val="00683C9B"/>
    <w:rsid w:val="006A5F12"/>
    <w:rsid w:val="006D2B96"/>
    <w:rsid w:val="006D72AF"/>
    <w:rsid w:val="006D767F"/>
    <w:rsid w:val="006D7D35"/>
    <w:rsid w:val="006E2E78"/>
    <w:rsid w:val="006E5A04"/>
    <w:rsid w:val="006F6D31"/>
    <w:rsid w:val="00716C9F"/>
    <w:rsid w:val="007501BB"/>
    <w:rsid w:val="00792553"/>
    <w:rsid w:val="007C53B3"/>
    <w:rsid w:val="007C7789"/>
    <w:rsid w:val="00816533"/>
    <w:rsid w:val="00841889"/>
    <w:rsid w:val="00853B5F"/>
    <w:rsid w:val="00854F6B"/>
    <w:rsid w:val="0088415F"/>
    <w:rsid w:val="00885D2F"/>
    <w:rsid w:val="008C7621"/>
    <w:rsid w:val="009132C8"/>
    <w:rsid w:val="00933005"/>
    <w:rsid w:val="009421F0"/>
    <w:rsid w:val="0096466D"/>
    <w:rsid w:val="009A3BDB"/>
    <w:rsid w:val="009B3B6B"/>
    <w:rsid w:val="009C4D3C"/>
    <w:rsid w:val="009F6584"/>
    <w:rsid w:val="00A11C02"/>
    <w:rsid w:val="00A4273C"/>
    <w:rsid w:val="00A67761"/>
    <w:rsid w:val="00A85D64"/>
    <w:rsid w:val="00B0624C"/>
    <w:rsid w:val="00B15A52"/>
    <w:rsid w:val="00B45527"/>
    <w:rsid w:val="00B54921"/>
    <w:rsid w:val="00B65B10"/>
    <w:rsid w:val="00B94849"/>
    <w:rsid w:val="00BB1406"/>
    <w:rsid w:val="00BE2910"/>
    <w:rsid w:val="00BE44A7"/>
    <w:rsid w:val="00BE5F93"/>
    <w:rsid w:val="00C2788A"/>
    <w:rsid w:val="00C30271"/>
    <w:rsid w:val="00C32C70"/>
    <w:rsid w:val="00C32D9D"/>
    <w:rsid w:val="00C45BC5"/>
    <w:rsid w:val="00C52FB5"/>
    <w:rsid w:val="00C774EC"/>
    <w:rsid w:val="00C95F07"/>
    <w:rsid w:val="00CB4A67"/>
    <w:rsid w:val="00CE4979"/>
    <w:rsid w:val="00D06BD7"/>
    <w:rsid w:val="00D71767"/>
    <w:rsid w:val="00D763C1"/>
    <w:rsid w:val="00D82A40"/>
    <w:rsid w:val="00DB12FA"/>
    <w:rsid w:val="00E41954"/>
    <w:rsid w:val="00E61E81"/>
    <w:rsid w:val="00E84B4F"/>
    <w:rsid w:val="00E97678"/>
    <w:rsid w:val="00EA06DE"/>
    <w:rsid w:val="00EB1EEA"/>
    <w:rsid w:val="00EF300A"/>
    <w:rsid w:val="00F02489"/>
    <w:rsid w:val="00F31EBA"/>
    <w:rsid w:val="00F774E4"/>
    <w:rsid w:val="00FA05E5"/>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945B13-4354-48D9-A070-07A44681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C774E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774E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774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774EC"/>
    <w:rPr>
      <w:b/>
      <w:bCs/>
      <w:kern w:val="44"/>
      <w:sz w:val="44"/>
      <w:szCs w:val="44"/>
    </w:rPr>
  </w:style>
  <w:style w:type="table" w:styleId="a3">
    <w:name w:val="Table Grid"/>
    <w:basedOn w:val="a1"/>
    <w:uiPriority w:val="39"/>
    <w:rsid w:val="00C77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rsid w:val="00C774EC"/>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774EC"/>
    <w:rPr>
      <w:b/>
      <w:bCs/>
      <w:sz w:val="32"/>
      <w:szCs w:val="32"/>
    </w:rPr>
  </w:style>
  <w:style w:type="paragraph" w:styleId="a4">
    <w:name w:val="List Paragraph"/>
    <w:basedOn w:val="a"/>
    <w:uiPriority w:val="34"/>
    <w:qFormat/>
    <w:rsid w:val="00275F92"/>
    <w:pPr>
      <w:ind w:firstLineChars="200" w:firstLine="420"/>
    </w:pPr>
  </w:style>
  <w:style w:type="character" w:styleId="a5">
    <w:name w:val="Hyperlink"/>
    <w:basedOn w:val="a0"/>
    <w:uiPriority w:val="99"/>
    <w:semiHidden/>
    <w:unhideWhenUsed/>
    <w:rsid w:val="00816533"/>
    <w:rPr>
      <w:color w:val="0563C1"/>
      <w:u w:val="single"/>
    </w:rPr>
  </w:style>
  <w:style w:type="character" w:styleId="a6">
    <w:name w:val="FollowedHyperlink"/>
    <w:basedOn w:val="a0"/>
    <w:uiPriority w:val="99"/>
    <w:semiHidden/>
    <w:unhideWhenUsed/>
    <w:rsid w:val="00816533"/>
    <w:rPr>
      <w:color w:val="954F72"/>
      <w:u w:val="single"/>
    </w:rPr>
  </w:style>
  <w:style w:type="paragraph" w:customStyle="1" w:styleId="font5">
    <w:name w:val="font5"/>
    <w:basedOn w:val="a"/>
    <w:rsid w:val="00816533"/>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816533"/>
    <w:pPr>
      <w:widowControl/>
      <w:spacing w:before="100" w:beforeAutospacing="1" w:after="100" w:afterAutospacing="1"/>
      <w:jc w:val="left"/>
    </w:pPr>
    <w:rPr>
      <w:rFonts w:ascii="宋体" w:eastAsia="宋体" w:hAnsi="宋体" w:cs="宋体"/>
      <w:color w:val="000000"/>
      <w:kern w:val="0"/>
      <w:szCs w:val="21"/>
    </w:rPr>
  </w:style>
  <w:style w:type="paragraph" w:customStyle="1" w:styleId="font7">
    <w:name w:val="font7"/>
    <w:basedOn w:val="a"/>
    <w:rsid w:val="00816533"/>
    <w:pPr>
      <w:widowControl/>
      <w:spacing w:before="100" w:beforeAutospacing="1" w:after="100" w:afterAutospacing="1"/>
      <w:jc w:val="left"/>
    </w:pPr>
    <w:rPr>
      <w:rFonts w:ascii="宋体" w:eastAsia="宋体" w:hAnsi="宋体" w:cs="宋体"/>
      <w:color w:val="FF0000"/>
      <w:kern w:val="0"/>
      <w:szCs w:val="21"/>
    </w:rPr>
  </w:style>
  <w:style w:type="paragraph" w:customStyle="1" w:styleId="font8">
    <w:name w:val="font8"/>
    <w:basedOn w:val="a"/>
    <w:rsid w:val="00816533"/>
    <w:pPr>
      <w:widowControl/>
      <w:spacing w:before="100" w:beforeAutospacing="1" w:after="100" w:afterAutospacing="1"/>
      <w:jc w:val="left"/>
    </w:pPr>
    <w:rPr>
      <w:rFonts w:ascii="宋体" w:eastAsia="宋体" w:hAnsi="宋体" w:cs="宋体"/>
      <w:color w:val="000000"/>
      <w:kern w:val="0"/>
      <w:szCs w:val="21"/>
    </w:rPr>
  </w:style>
  <w:style w:type="paragraph" w:customStyle="1" w:styleId="font9">
    <w:name w:val="font9"/>
    <w:basedOn w:val="a"/>
    <w:rsid w:val="00816533"/>
    <w:pPr>
      <w:widowControl/>
      <w:spacing w:before="100" w:beforeAutospacing="1" w:after="100" w:afterAutospacing="1"/>
      <w:jc w:val="left"/>
    </w:pPr>
    <w:rPr>
      <w:rFonts w:ascii="Times New Roman" w:eastAsia="宋体" w:hAnsi="Times New Roman" w:cs="Times New Roman"/>
      <w:color w:val="000000"/>
      <w:kern w:val="0"/>
      <w:szCs w:val="21"/>
    </w:rPr>
  </w:style>
  <w:style w:type="paragraph" w:customStyle="1" w:styleId="font10">
    <w:name w:val="font10"/>
    <w:basedOn w:val="a"/>
    <w:rsid w:val="00816533"/>
    <w:pPr>
      <w:widowControl/>
      <w:spacing w:before="100" w:beforeAutospacing="1" w:after="100" w:afterAutospacing="1"/>
      <w:jc w:val="left"/>
    </w:pPr>
    <w:rPr>
      <w:rFonts w:ascii="宋体" w:eastAsia="宋体" w:hAnsi="宋体" w:cs="宋体"/>
      <w:color w:val="000000"/>
      <w:kern w:val="0"/>
      <w:szCs w:val="21"/>
    </w:rPr>
  </w:style>
  <w:style w:type="paragraph" w:customStyle="1" w:styleId="xl66">
    <w:name w:val="xl66"/>
    <w:basedOn w:val="a"/>
    <w:rsid w:val="0081653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xl67">
    <w:name w:val="xl67"/>
    <w:basedOn w:val="a"/>
    <w:rsid w:val="008165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68">
    <w:name w:val="xl68"/>
    <w:basedOn w:val="a"/>
    <w:rsid w:val="0081653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b/>
      <w:bCs/>
      <w:kern w:val="0"/>
      <w:szCs w:val="21"/>
    </w:rPr>
  </w:style>
  <w:style w:type="paragraph" w:customStyle="1" w:styleId="xl69">
    <w:name w:val="xl69"/>
    <w:basedOn w:val="a"/>
    <w:rsid w:val="008165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Cs w:val="21"/>
    </w:rPr>
  </w:style>
  <w:style w:type="paragraph" w:customStyle="1" w:styleId="xl70">
    <w:name w:val="xl70"/>
    <w:basedOn w:val="a"/>
    <w:rsid w:val="0081653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333399"/>
      <w:kern w:val="0"/>
      <w:szCs w:val="21"/>
    </w:rPr>
  </w:style>
  <w:style w:type="paragraph" w:customStyle="1" w:styleId="xl71">
    <w:name w:val="xl71"/>
    <w:basedOn w:val="a"/>
    <w:rsid w:val="008165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72">
    <w:name w:val="xl72"/>
    <w:basedOn w:val="a"/>
    <w:rsid w:val="008165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333399"/>
      <w:kern w:val="0"/>
      <w:szCs w:val="21"/>
    </w:rPr>
  </w:style>
  <w:style w:type="paragraph" w:customStyle="1" w:styleId="xl73">
    <w:name w:val="xl73"/>
    <w:basedOn w:val="a"/>
    <w:rsid w:val="00816533"/>
    <w:pPr>
      <w:widowControl/>
      <w:spacing w:before="100" w:beforeAutospacing="1" w:after="100" w:afterAutospacing="1"/>
      <w:jc w:val="left"/>
    </w:pPr>
    <w:rPr>
      <w:rFonts w:ascii="宋体" w:eastAsia="宋体" w:hAnsi="宋体" w:cs="宋体"/>
      <w:kern w:val="0"/>
      <w:szCs w:val="21"/>
    </w:rPr>
  </w:style>
  <w:style w:type="paragraph" w:customStyle="1" w:styleId="xl74">
    <w:name w:val="xl74"/>
    <w:basedOn w:val="a"/>
    <w:rsid w:val="008165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Cs w:val="21"/>
    </w:rPr>
  </w:style>
  <w:style w:type="paragraph" w:customStyle="1" w:styleId="xl75">
    <w:name w:val="xl75"/>
    <w:basedOn w:val="a"/>
    <w:rsid w:val="008165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301394">
      <w:bodyDiv w:val="1"/>
      <w:marLeft w:val="0"/>
      <w:marRight w:val="0"/>
      <w:marTop w:val="0"/>
      <w:marBottom w:val="0"/>
      <w:divBdr>
        <w:top w:val="none" w:sz="0" w:space="0" w:color="auto"/>
        <w:left w:val="none" w:sz="0" w:space="0" w:color="auto"/>
        <w:bottom w:val="none" w:sz="0" w:space="0" w:color="auto"/>
        <w:right w:val="none" w:sz="0" w:space="0" w:color="auto"/>
      </w:divBdr>
    </w:div>
    <w:div w:id="665322510">
      <w:bodyDiv w:val="1"/>
      <w:marLeft w:val="0"/>
      <w:marRight w:val="0"/>
      <w:marTop w:val="0"/>
      <w:marBottom w:val="0"/>
      <w:divBdr>
        <w:top w:val="none" w:sz="0" w:space="0" w:color="auto"/>
        <w:left w:val="none" w:sz="0" w:space="0" w:color="auto"/>
        <w:bottom w:val="none" w:sz="0" w:space="0" w:color="auto"/>
        <w:right w:val="none" w:sz="0" w:space="0" w:color="auto"/>
      </w:divBdr>
    </w:div>
    <w:div w:id="954018632">
      <w:bodyDiv w:val="1"/>
      <w:marLeft w:val="0"/>
      <w:marRight w:val="0"/>
      <w:marTop w:val="0"/>
      <w:marBottom w:val="0"/>
      <w:divBdr>
        <w:top w:val="none" w:sz="0" w:space="0" w:color="auto"/>
        <w:left w:val="none" w:sz="0" w:space="0" w:color="auto"/>
        <w:bottom w:val="none" w:sz="0" w:space="0" w:color="auto"/>
        <w:right w:val="none" w:sz="0" w:space="0" w:color="auto"/>
      </w:divBdr>
    </w:div>
    <w:div w:id="983316597">
      <w:bodyDiv w:val="1"/>
      <w:marLeft w:val="0"/>
      <w:marRight w:val="0"/>
      <w:marTop w:val="0"/>
      <w:marBottom w:val="0"/>
      <w:divBdr>
        <w:top w:val="none" w:sz="0" w:space="0" w:color="auto"/>
        <w:left w:val="none" w:sz="0" w:space="0" w:color="auto"/>
        <w:bottom w:val="none" w:sz="0" w:space="0" w:color="auto"/>
        <w:right w:val="none" w:sz="0" w:space="0" w:color="auto"/>
      </w:divBdr>
    </w:div>
    <w:div w:id="1172530993">
      <w:bodyDiv w:val="1"/>
      <w:marLeft w:val="0"/>
      <w:marRight w:val="0"/>
      <w:marTop w:val="0"/>
      <w:marBottom w:val="0"/>
      <w:divBdr>
        <w:top w:val="none" w:sz="0" w:space="0" w:color="auto"/>
        <w:left w:val="none" w:sz="0" w:space="0" w:color="auto"/>
        <w:bottom w:val="none" w:sz="0" w:space="0" w:color="auto"/>
        <w:right w:val="none" w:sz="0" w:space="0" w:color="auto"/>
      </w:divBdr>
    </w:div>
    <w:div w:id="1189833532">
      <w:bodyDiv w:val="1"/>
      <w:marLeft w:val="0"/>
      <w:marRight w:val="0"/>
      <w:marTop w:val="0"/>
      <w:marBottom w:val="0"/>
      <w:divBdr>
        <w:top w:val="none" w:sz="0" w:space="0" w:color="auto"/>
        <w:left w:val="none" w:sz="0" w:space="0" w:color="auto"/>
        <w:bottom w:val="none" w:sz="0" w:space="0" w:color="auto"/>
        <w:right w:val="none" w:sz="0" w:space="0" w:color="auto"/>
      </w:divBdr>
    </w:div>
    <w:div w:id="1219055102">
      <w:bodyDiv w:val="1"/>
      <w:marLeft w:val="0"/>
      <w:marRight w:val="0"/>
      <w:marTop w:val="0"/>
      <w:marBottom w:val="0"/>
      <w:divBdr>
        <w:top w:val="none" w:sz="0" w:space="0" w:color="auto"/>
        <w:left w:val="none" w:sz="0" w:space="0" w:color="auto"/>
        <w:bottom w:val="none" w:sz="0" w:space="0" w:color="auto"/>
        <w:right w:val="none" w:sz="0" w:space="0" w:color="auto"/>
      </w:divBdr>
    </w:div>
    <w:div w:id="1338924351">
      <w:bodyDiv w:val="1"/>
      <w:marLeft w:val="0"/>
      <w:marRight w:val="0"/>
      <w:marTop w:val="0"/>
      <w:marBottom w:val="0"/>
      <w:divBdr>
        <w:top w:val="none" w:sz="0" w:space="0" w:color="auto"/>
        <w:left w:val="none" w:sz="0" w:space="0" w:color="auto"/>
        <w:bottom w:val="none" w:sz="0" w:space="0" w:color="auto"/>
        <w:right w:val="none" w:sz="0" w:space="0" w:color="auto"/>
      </w:divBdr>
    </w:div>
    <w:div w:id="1734700062">
      <w:bodyDiv w:val="1"/>
      <w:marLeft w:val="0"/>
      <w:marRight w:val="0"/>
      <w:marTop w:val="0"/>
      <w:marBottom w:val="0"/>
      <w:divBdr>
        <w:top w:val="none" w:sz="0" w:space="0" w:color="auto"/>
        <w:left w:val="none" w:sz="0" w:space="0" w:color="auto"/>
        <w:bottom w:val="none" w:sz="0" w:space="0" w:color="auto"/>
        <w:right w:val="none" w:sz="0" w:space="0" w:color="auto"/>
      </w:divBdr>
    </w:div>
    <w:div w:id="206451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20</Pages>
  <Words>1488</Words>
  <Characters>8485</Characters>
  <Application>Microsoft Office Word</Application>
  <DocSecurity>0</DocSecurity>
  <Lines>70</Lines>
  <Paragraphs>19</Paragraphs>
  <ScaleCrop>false</ScaleCrop>
  <Company/>
  <LinksUpToDate>false</LinksUpToDate>
  <CharactersWithSpaces>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宦翔</dc:creator>
  <cp:keywords/>
  <dc:description/>
  <cp:lastModifiedBy>Microsoft 帐户</cp:lastModifiedBy>
  <cp:revision>14</cp:revision>
  <dcterms:created xsi:type="dcterms:W3CDTF">2022-03-21T03:00:00Z</dcterms:created>
  <dcterms:modified xsi:type="dcterms:W3CDTF">2022-06-13T02:06:00Z</dcterms:modified>
</cp:coreProperties>
</file>