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EECE1" w:themeColor="background2"/>
  <w:body>
    <w:p w:rsidR="00BA6D37" w:rsidRDefault="00314976">
      <w:pPr>
        <w:tabs>
          <w:tab w:val="left" w:pos="3119"/>
        </w:tabs>
        <w:spacing w:before="240" w:after="0" w:line="560" w:lineRule="exact"/>
        <w:outlineLvl w:val="0"/>
        <w:rPr>
          <w:rFonts w:ascii="Times New Roman" w:eastAsia="华文中宋" w:hAnsi="Times New Roman" w:cs="Times New Roman"/>
          <w:sz w:val="30"/>
          <w:szCs w:val="30"/>
        </w:rPr>
      </w:pPr>
      <w:bookmarkStart w:id="0" w:name="_GoBack"/>
      <w:bookmarkEnd w:id="0"/>
      <w:r>
        <w:rPr>
          <w:rFonts w:ascii="Times New Roman" w:eastAsia="华文中宋" w:hAnsi="Times New Roman" w:cs="Times New Roman" w:hint="eastAsia"/>
          <w:sz w:val="30"/>
          <w:szCs w:val="30"/>
        </w:rPr>
        <w:t>附件</w:t>
      </w:r>
      <w:r>
        <w:rPr>
          <w:rFonts w:ascii="Times New Roman" w:eastAsia="华文中宋" w:hAnsi="Times New Roman" w:cs="Times New Roman" w:hint="eastAsia"/>
          <w:sz w:val="30"/>
          <w:szCs w:val="30"/>
        </w:rPr>
        <w:t>2</w:t>
      </w:r>
      <w:r>
        <w:rPr>
          <w:rFonts w:ascii="Times New Roman" w:eastAsia="华文中宋" w:hAnsi="Times New Roman" w:cs="Times New Roman" w:hint="eastAsia"/>
          <w:sz w:val="30"/>
          <w:szCs w:val="30"/>
        </w:rPr>
        <w:t>：</w:t>
      </w:r>
    </w:p>
    <w:p w:rsidR="00BA6D37" w:rsidRDefault="00314976">
      <w:pPr>
        <w:spacing w:before="240" w:after="240" w:line="560" w:lineRule="exact"/>
        <w:jc w:val="center"/>
        <w:outlineLvl w:val="0"/>
        <w:rPr>
          <w:rFonts w:ascii="Times New Roman" w:eastAsia="华文中宋" w:hAnsi="Times New Roman" w:cs="Arial"/>
          <w:b/>
          <w:sz w:val="44"/>
          <w:szCs w:val="44"/>
        </w:rPr>
      </w:pPr>
      <w:r>
        <w:rPr>
          <w:rFonts w:ascii="Times New Roman" w:eastAsia="华文中宋" w:hAnsi="Times New Roman" w:cs="Arial" w:hint="eastAsia"/>
          <w:b/>
          <w:sz w:val="44"/>
          <w:szCs w:val="44"/>
        </w:rPr>
        <w:t xml:space="preserve"> </w:t>
      </w:r>
      <w:r>
        <w:rPr>
          <w:rFonts w:ascii="Times New Roman" w:eastAsia="华文中宋" w:hAnsi="Times New Roman" w:cs="Arial"/>
          <w:b/>
          <w:sz w:val="44"/>
          <w:szCs w:val="44"/>
        </w:rPr>
        <w:t xml:space="preserve">   </w:t>
      </w:r>
      <w:r>
        <w:rPr>
          <w:rFonts w:ascii="Times New Roman" w:eastAsia="华文中宋" w:hAnsi="Times New Roman" w:cs="Arial"/>
          <w:b/>
          <w:sz w:val="44"/>
          <w:szCs w:val="44"/>
        </w:rPr>
        <w:t>中国证券投资基金业协会</w:t>
      </w:r>
      <w:r>
        <w:rPr>
          <w:rFonts w:ascii="Times New Roman" w:eastAsia="华文中宋" w:hAnsi="Times New Roman" w:cs="Arial" w:hint="eastAsia"/>
          <w:b/>
          <w:sz w:val="44"/>
          <w:szCs w:val="44"/>
        </w:rPr>
        <w:t>私募基金分类标准</w:t>
      </w:r>
    </w:p>
    <w:p w:rsidR="00BA6D37" w:rsidRDefault="00314976">
      <w:pPr>
        <w:spacing w:before="240" w:after="240" w:line="560" w:lineRule="exact"/>
        <w:jc w:val="center"/>
        <w:rPr>
          <w:rFonts w:ascii="Times New Roman" w:eastAsia="华文中宋" w:hAnsi="Times New Roman" w:cs="Arial"/>
          <w:b/>
          <w:sz w:val="44"/>
          <w:szCs w:val="44"/>
        </w:rPr>
      </w:pPr>
      <w:r>
        <w:rPr>
          <w:rFonts w:ascii="Times New Roman" w:eastAsia="华文中宋" w:hAnsi="Times New Roman" w:cs="Arial" w:hint="eastAsia"/>
          <w:b/>
          <w:sz w:val="44"/>
          <w:szCs w:val="44"/>
        </w:rPr>
        <w:t>说明指南</w:t>
      </w:r>
    </w:p>
    <w:p w:rsidR="00BA6D37" w:rsidRDefault="00BA6D37">
      <w:pPr>
        <w:spacing w:before="240" w:after="240" w:line="560" w:lineRule="exact"/>
        <w:jc w:val="center"/>
        <w:rPr>
          <w:rFonts w:ascii="Times New Roman" w:eastAsia="华文中宋" w:hAnsi="Times New Roman" w:cs="Arial"/>
          <w:b/>
          <w:sz w:val="44"/>
          <w:szCs w:val="44"/>
        </w:rPr>
      </w:pPr>
    </w:p>
    <w:p w:rsidR="00BA6D37" w:rsidRDefault="00314976">
      <w:pPr>
        <w:pStyle w:val="ab0"/>
        <w:tabs>
          <w:tab w:val="left" w:pos="8647"/>
        </w:tabs>
        <w:spacing w:afterLines="0" w:line="560" w:lineRule="exact"/>
        <w:ind w:firstLine="560"/>
      </w:pPr>
      <w:r>
        <w:rPr>
          <w:rFonts w:hint="eastAsia"/>
        </w:rPr>
        <w:t>为推动中国私募资管业务的信息披露、监管的实施，实现</w:t>
      </w:r>
      <w:r>
        <w:t>信息披露和监管报告</w:t>
      </w:r>
      <w:r>
        <w:rPr>
          <w:rFonts w:hint="eastAsia"/>
        </w:rPr>
        <w:t>标准化、规范化</w:t>
      </w:r>
      <w:r>
        <w:t>，</w:t>
      </w:r>
      <w:r>
        <w:rPr>
          <w:rFonts w:hint="eastAsia"/>
        </w:rPr>
        <w:t>提升监管工作效率，中国证券投资基金业协会（以下</w:t>
      </w:r>
      <w:r>
        <w:t>简称中基协</w:t>
      </w:r>
      <w:r>
        <w:rPr>
          <w:rFonts w:hint="eastAsia"/>
        </w:rPr>
        <w:t>）遵循《可扩展商业报告语言（</w:t>
      </w:r>
      <w:r>
        <w:rPr>
          <w:rFonts w:hint="eastAsia"/>
        </w:rPr>
        <w:t>XBRL</w:t>
      </w:r>
      <w:r>
        <w:rPr>
          <w:rFonts w:hint="eastAsia"/>
        </w:rPr>
        <w:t>）技术规范》（</w:t>
      </w:r>
      <w:r>
        <w:rPr>
          <w:rFonts w:hint="eastAsia"/>
        </w:rPr>
        <w:t>GB/T 25500-2010</w:t>
      </w:r>
      <w:r>
        <w:rPr>
          <w:rFonts w:hint="eastAsia"/>
        </w:rPr>
        <w:t>）系列</w:t>
      </w:r>
      <w:r>
        <w:t>国家标准</w:t>
      </w:r>
      <w:r>
        <w:rPr>
          <w:rFonts w:hint="eastAsia"/>
        </w:rPr>
        <w:t>，</w:t>
      </w:r>
      <w:r>
        <w:t>基于</w:t>
      </w:r>
      <w:r>
        <w:rPr>
          <w:rFonts w:hint="eastAsia"/>
        </w:rPr>
        <w:t>中基协印发</w:t>
      </w:r>
      <w:r>
        <w:t>的</w:t>
      </w:r>
      <w:bookmarkStart w:id="1" w:name="OLE_LINK6"/>
      <w:bookmarkStart w:id="2" w:name="OLE_LINK5"/>
      <w:r>
        <w:rPr>
          <w:rFonts w:hint="eastAsia"/>
        </w:rPr>
        <w:t>《私募投资基金信息披露内容与格式指引</w:t>
      </w:r>
      <w:r>
        <w:rPr>
          <w:rFonts w:hint="eastAsia"/>
        </w:rPr>
        <w:t>2</w:t>
      </w:r>
      <w:r>
        <w:rPr>
          <w:rFonts w:hint="eastAsia"/>
        </w:rPr>
        <w:t>号</w:t>
      </w:r>
      <w:r>
        <w:t>》</w:t>
      </w:r>
      <w:bookmarkEnd w:id="1"/>
      <w:bookmarkEnd w:id="2"/>
      <w:r>
        <w:t>、《</w:t>
      </w:r>
      <w:r>
        <w:rPr>
          <w:rFonts w:hint="eastAsia"/>
        </w:rPr>
        <w:t>私募投资基金信息披露内容与格式指引</w:t>
      </w:r>
      <w:r>
        <w:rPr>
          <w:rFonts w:hint="eastAsia"/>
        </w:rPr>
        <w:t>1</w:t>
      </w:r>
      <w:r>
        <w:rPr>
          <w:rFonts w:hint="eastAsia"/>
        </w:rPr>
        <w:t>号</w:t>
      </w:r>
      <w:r>
        <w:t>》</w:t>
      </w:r>
      <w:r>
        <w:rPr>
          <w:rFonts w:hint="eastAsia"/>
        </w:rPr>
        <w:t>及</w:t>
      </w:r>
      <w:r>
        <w:rPr>
          <w:rFonts w:cs="Times New Roman" w:hint="eastAsia"/>
          <w:szCs w:val="28"/>
        </w:rPr>
        <w:t>《</w:t>
      </w:r>
      <w:r>
        <w:rPr>
          <w:rFonts w:cs="Times New Roman"/>
          <w:szCs w:val="28"/>
        </w:rPr>
        <w:t>关于资产管理业务综合报送平台上线运行相关安排的说明</w:t>
      </w:r>
      <w:r>
        <w:rPr>
          <w:rFonts w:cs="Times New Roman" w:hint="eastAsia"/>
          <w:szCs w:val="28"/>
        </w:rPr>
        <w:t>》等相关文件</w:t>
      </w:r>
      <w:r>
        <w:rPr>
          <w:rFonts w:hint="eastAsia"/>
        </w:rPr>
        <w:t>，研究</w:t>
      </w:r>
      <w:r>
        <w:t>制定了中国证券投资基金业协会</w:t>
      </w:r>
      <w:r>
        <w:rPr>
          <w:rFonts w:hint="eastAsia"/>
        </w:rPr>
        <w:t>私募基金分类</w:t>
      </w:r>
      <w:r>
        <w:t>标准</w:t>
      </w:r>
      <w:r>
        <w:rPr>
          <w:rFonts w:hint="eastAsia"/>
        </w:rPr>
        <w:t>（以下</w:t>
      </w:r>
      <w:r>
        <w:t>简称</w:t>
      </w:r>
      <w:r>
        <w:rPr>
          <w:rFonts w:hint="eastAsia"/>
        </w:rPr>
        <w:t>分类标准</w:t>
      </w:r>
      <w:r>
        <w:t>）</w:t>
      </w:r>
      <w:r>
        <w:rPr>
          <w:rFonts w:hint="eastAsia"/>
        </w:rPr>
        <w:t>。本版</w:t>
      </w:r>
      <w:r>
        <w:t>分类标准</w:t>
      </w:r>
      <w:r>
        <w:rPr>
          <w:rFonts w:hint="eastAsia"/>
        </w:rPr>
        <w:t>涵盖私募基金信息披露系统以及</w:t>
      </w:r>
      <w:r>
        <w:t>资产管理业务综合报送平台</w:t>
      </w:r>
      <w:r>
        <w:rPr>
          <w:rFonts w:hint="eastAsia"/>
        </w:rPr>
        <w:t>。</w:t>
      </w:r>
      <w:r>
        <w:t>中基协</w:t>
      </w:r>
      <w:r>
        <w:rPr>
          <w:rFonts w:hint="eastAsia"/>
        </w:rPr>
        <w:t>将</w:t>
      </w:r>
      <w:r>
        <w:t>根据</w:t>
      </w:r>
      <w:r>
        <w:rPr>
          <w:rFonts w:hint="eastAsia"/>
        </w:rPr>
        <w:t>披露和监管</w:t>
      </w:r>
      <w:r>
        <w:t>规则的</w:t>
      </w:r>
      <w:r>
        <w:rPr>
          <w:rFonts w:hint="eastAsia"/>
        </w:rPr>
        <w:t>修订和</w:t>
      </w:r>
      <w:r>
        <w:t>分类标准</w:t>
      </w:r>
      <w:r>
        <w:rPr>
          <w:rFonts w:hint="eastAsia"/>
        </w:rPr>
        <w:t>的</w:t>
      </w:r>
      <w:r>
        <w:t>实施情况</w:t>
      </w:r>
      <w:r>
        <w:rPr>
          <w:rFonts w:hint="eastAsia"/>
        </w:rPr>
        <w:t>，对该分类</w:t>
      </w:r>
      <w:r>
        <w:t>标准进行</w:t>
      </w:r>
      <w:r>
        <w:rPr>
          <w:rFonts w:hint="eastAsia"/>
        </w:rPr>
        <w:t>修改、</w:t>
      </w:r>
      <w:r>
        <w:t>补充和</w:t>
      </w:r>
      <w:r>
        <w:rPr>
          <w:rFonts w:hint="eastAsia"/>
        </w:rPr>
        <w:t>完善</w:t>
      </w:r>
      <w:r>
        <w:t>。</w:t>
      </w:r>
    </w:p>
    <w:p w:rsidR="00BA6D37" w:rsidRDefault="00314976">
      <w:pPr>
        <w:pStyle w:val="ab0"/>
        <w:spacing w:afterLines="0" w:line="560" w:lineRule="exact"/>
        <w:ind w:firstLine="560"/>
      </w:pPr>
      <w:r>
        <w:rPr>
          <w:rFonts w:hint="eastAsia"/>
        </w:rPr>
        <w:t>本指南作为</w:t>
      </w:r>
      <w:r>
        <w:t>分类标准</w:t>
      </w:r>
      <w:r>
        <w:rPr>
          <w:rFonts w:hint="eastAsia"/>
        </w:rPr>
        <w:t>的说明性文件，旨在帮助具备一定</w:t>
      </w:r>
      <w:r>
        <w:rPr>
          <w:rFonts w:hint="eastAsia"/>
        </w:rPr>
        <w:t>XBRL</w:t>
      </w:r>
      <w:r>
        <w:rPr>
          <w:rFonts w:hint="eastAsia"/>
        </w:rPr>
        <w:t>知识的使用者了解分类标准的架构及内容，这些使用者包含有关监管机构、报送报告的编制者和软件开发商等。</w:t>
      </w:r>
    </w:p>
    <w:p w:rsidR="00BA6D37" w:rsidRDefault="00314976">
      <w:pPr>
        <w:pStyle w:val="af1"/>
        <w:numPr>
          <w:ilvl w:val="0"/>
          <w:numId w:val="2"/>
        </w:numPr>
        <w:wordWrap/>
        <w:spacing w:line="560" w:lineRule="exact"/>
        <w:ind w:firstLineChars="0"/>
      </w:pPr>
      <w:r>
        <w:rPr>
          <w:rFonts w:hint="eastAsia"/>
        </w:rPr>
        <w:t>分类标准涵盖的内容</w:t>
      </w:r>
    </w:p>
    <w:p w:rsidR="00BA6D37" w:rsidRDefault="00314976">
      <w:pPr>
        <w:pStyle w:val="af4"/>
        <w:wordWrap/>
        <w:spacing w:after="0" w:line="560" w:lineRule="exact"/>
      </w:pPr>
      <w:r>
        <w:rPr>
          <w:rFonts w:hint="eastAsia"/>
        </w:rPr>
        <w:t>本版分类标准的内容</w:t>
      </w:r>
      <w:r>
        <w:t>包括</w:t>
      </w:r>
      <w:r>
        <w:rPr>
          <w:rFonts w:hint="eastAsia"/>
        </w:rPr>
        <w:t>私募基金信息披露系统以及</w:t>
      </w:r>
      <w:r>
        <w:t>资产管理业务综合报送平台</w:t>
      </w:r>
      <w:r>
        <w:rPr>
          <w:rFonts w:hint="eastAsia"/>
        </w:rPr>
        <w:t>。表</w:t>
      </w:r>
      <w:r>
        <w:rPr>
          <w:rFonts w:hint="eastAsia"/>
        </w:rPr>
        <w:t>1</w:t>
      </w:r>
      <w:r>
        <w:rPr>
          <w:rFonts w:hint="eastAsia"/>
        </w:rPr>
        <w:t>列示</w:t>
      </w:r>
      <w:r>
        <w:t>了上述</w:t>
      </w:r>
      <w:r>
        <w:rPr>
          <w:rFonts w:hint="eastAsia"/>
        </w:rPr>
        <w:t>内容</w:t>
      </w:r>
      <w:r>
        <w:t>中</w:t>
      </w:r>
      <w:r>
        <w:rPr>
          <w:rFonts w:hint="eastAsia"/>
        </w:rPr>
        <w:t>所</w:t>
      </w:r>
      <w:r>
        <w:t>涵盖的各类报告的名称。</w:t>
      </w:r>
    </w:p>
    <w:p w:rsidR="00BA6D37" w:rsidRDefault="00BA6D37">
      <w:pPr>
        <w:pStyle w:val="af4"/>
        <w:wordWrap/>
        <w:spacing w:after="0" w:line="560" w:lineRule="exact"/>
      </w:pPr>
    </w:p>
    <w:p w:rsidR="00BA6D37" w:rsidRDefault="00314976">
      <w:pPr>
        <w:pStyle w:val="af4"/>
        <w:wordWrap/>
        <w:spacing w:after="0" w:line="560" w:lineRule="exact"/>
        <w:ind w:firstLineChars="0" w:firstLine="0"/>
        <w:jc w:val="center"/>
        <w:rPr>
          <w:b/>
          <w:sz w:val="24"/>
          <w:szCs w:val="24"/>
        </w:rPr>
      </w:pPr>
      <w:r>
        <w:rPr>
          <w:rFonts w:hint="eastAsia"/>
          <w:b/>
          <w:sz w:val="24"/>
          <w:szCs w:val="24"/>
        </w:rPr>
        <w:t>表</w:t>
      </w:r>
      <w:r>
        <w:rPr>
          <w:b/>
          <w:sz w:val="24"/>
          <w:szCs w:val="24"/>
        </w:rPr>
        <w:t>1</w:t>
      </w:r>
      <w:r>
        <w:rPr>
          <w:rFonts w:hint="eastAsia"/>
          <w:b/>
          <w:sz w:val="24"/>
          <w:szCs w:val="24"/>
        </w:rPr>
        <w:t>：分类标准内容</w:t>
      </w:r>
      <w:r>
        <w:rPr>
          <w:b/>
          <w:sz w:val="24"/>
          <w:szCs w:val="24"/>
        </w:rPr>
        <w:t>清单</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98"/>
        <w:gridCol w:w="1701"/>
        <w:gridCol w:w="4776"/>
        <w:gridCol w:w="1180"/>
      </w:tblGrid>
      <w:tr w:rsidR="00BA6D37">
        <w:trPr>
          <w:trHeight w:val="585"/>
          <w:tblHeader/>
        </w:trPr>
        <w:tc>
          <w:tcPr>
            <w:tcW w:w="0" w:type="auto"/>
            <w:shd w:val="clear" w:color="auto" w:fill="auto"/>
            <w:vAlign w:val="center"/>
          </w:tcPr>
          <w:p w:rsidR="00BA6D37" w:rsidRDefault="00314976">
            <w:pPr>
              <w:spacing w:after="0" w:line="240" w:lineRule="auto"/>
              <w:jc w:val="center"/>
              <w:rPr>
                <w:rFonts w:ascii="仿宋_GB2312" w:eastAsia="仿宋_GB2312" w:hAnsi="MS PGothic" w:cs="宋体"/>
                <w:b/>
                <w:bCs/>
                <w:color w:val="000000"/>
                <w:sz w:val="24"/>
                <w:szCs w:val="24"/>
              </w:rPr>
            </w:pPr>
            <w:r>
              <w:rPr>
                <w:rFonts w:ascii="仿宋_GB2312" w:eastAsia="仿宋_GB2312" w:hAnsi="MS PGothic" w:cs="宋体" w:hint="eastAsia"/>
                <w:b/>
                <w:bCs/>
                <w:color w:val="000000"/>
                <w:sz w:val="24"/>
                <w:szCs w:val="24"/>
              </w:rPr>
              <w:lastRenderedPageBreak/>
              <w:t>序号</w:t>
            </w:r>
          </w:p>
        </w:tc>
        <w:tc>
          <w:tcPr>
            <w:tcW w:w="1701" w:type="dxa"/>
            <w:shd w:val="clear" w:color="auto" w:fill="auto"/>
            <w:vAlign w:val="center"/>
          </w:tcPr>
          <w:p w:rsidR="00BA6D37" w:rsidRDefault="00314976">
            <w:pPr>
              <w:spacing w:after="0" w:line="240" w:lineRule="auto"/>
              <w:jc w:val="center"/>
              <w:rPr>
                <w:rFonts w:ascii="仿宋_GB2312" w:eastAsia="仿宋_GB2312" w:hAnsi="MS PGothic" w:cs="宋体"/>
                <w:b/>
                <w:bCs/>
                <w:color w:val="000000"/>
                <w:sz w:val="24"/>
                <w:szCs w:val="24"/>
              </w:rPr>
            </w:pPr>
            <w:r>
              <w:rPr>
                <w:rFonts w:ascii="仿宋_GB2312" w:eastAsia="仿宋_GB2312" w:hAnsi="MS PGothic" w:cs="宋体" w:hint="eastAsia"/>
                <w:b/>
                <w:bCs/>
                <w:color w:val="000000"/>
                <w:sz w:val="24"/>
                <w:szCs w:val="24"/>
              </w:rPr>
              <w:t>平台名称</w:t>
            </w:r>
          </w:p>
        </w:tc>
        <w:tc>
          <w:tcPr>
            <w:tcW w:w="0" w:type="auto"/>
            <w:shd w:val="clear" w:color="auto" w:fill="auto"/>
            <w:vAlign w:val="center"/>
          </w:tcPr>
          <w:p w:rsidR="00BA6D37" w:rsidRDefault="00314976">
            <w:pPr>
              <w:spacing w:after="0" w:line="240" w:lineRule="auto"/>
              <w:jc w:val="center"/>
              <w:rPr>
                <w:rFonts w:ascii="仿宋_GB2312" w:eastAsia="仿宋_GB2312" w:hAnsi="MS PGothic" w:cs="宋体"/>
                <w:b/>
                <w:bCs/>
                <w:color w:val="000000"/>
                <w:sz w:val="24"/>
                <w:szCs w:val="24"/>
              </w:rPr>
            </w:pPr>
            <w:r>
              <w:rPr>
                <w:rFonts w:ascii="仿宋_GB2312" w:eastAsia="仿宋_GB2312" w:hAnsi="MS PGothic" w:cs="宋体" w:hint="eastAsia"/>
                <w:b/>
                <w:bCs/>
                <w:color w:val="000000"/>
                <w:sz w:val="24"/>
                <w:szCs w:val="24"/>
              </w:rPr>
              <w:t>任务类型或报告类型名称</w:t>
            </w:r>
          </w:p>
        </w:tc>
        <w:tc>
          <w:tcPr>
            <w:tcW w:w="0" w:type="auto"/>
            <w:shd w:val="clear" w:color="auto" w:fill="auto"/>
            <w:vAlign w:val="center"/>
          </w:tcPr>
          <w:p w:rsidR="00BA6D37" w:rsidRDefault="00314976">
            <w:pPr>
              <w:spacing w:after="0" w:line="240" w:lineRule="auto"/>
              <w:jc w:val="center"/>
              <w:rPr>
                <w:rFonts w:ascii="仿宋_GB2312" w:eastAsia="仿宋_GB2312" w:hAnsi="MS PGothic" w:cs="宋体"/>
                <w:b/>
                <w:bCs/>
                <w:color w:val="000000"/>
                <w:sz w:val="24"/>
                <w:szCs w:val="24"/>
              </w:rPr>
            </w:pPr>
            <w:r>
              <w:rPr>
                <w:rFonts w:ascii="仿宋_GB2312" w:eastAsia="仿宋_GB2312" w:hAnsi="MS PGothic" w:cs="宋体" w:hint="eastAsia"/>
                <w:b/>
                <w:bCs/>
                <w:color w:val="000000"/>
                <w:sz w:val="24"/>
                <w:szCs w:val="24"/>
              </w:rPr>
              <w:t>报告数量</w:t>
            </w:r>
          </w:p>
        </w:tc>
      </w:tr>
      <w:tr w:rsidR="00BA6D37">
        <w:trPr>
          <w:trHeight w:val="397"/>
        </w:trPr>
        <w:tc>
          <w:tcPr>
            <w:tcW w:w="0" w:type="auto"/>
            <w:shd w:val="clear" w:color="auto" w:fill="auto"/>
            <w:noWrap/>
            <w:vAlign w:val="center"/>
          </w:tcPr>
          <w:p w:rsidR="00BA6D37" w:rsidRDefault="00314976">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1</w:t>
            </w:r>
          </w:p>
        </w:tc>
        <w:tc>
          <w:tcPr>
            <w:tcW w:w="1701" w:type="dxa"/>
            <w:vMerge w:val="restart"/>
            <w:shd w:val="clear" w:color="auto" w:fill="auto"/>
            <w:noWrap/>
            <w:vAlign w:val="center"/>
          </w:tcPr>
          <w:p w:rsidR="00BA6D37" w:rsidRDefault="00314976">
            <w:pPr>
              <w:spacing w:after="0" w:line="240" w:lineRule="auto"/>
              <w:jc w:val="center"/>
              <w:rPr>
                <w:rFonts w:ascii="Times New Roman" w:eastAsia="仿宋_GB2312" w:hAnsi="Times New Roman" w:cs="Arial"/>
                <w:color w:val="000000"/>
                <w:sz w:val="24"/>
                <w:szCs w:val="20"/>
              </w:rPr>
            </w:pPr>
            <w:r>
              <w:rPr>
                <w:rFonts w:ascii="Times New Roman" w:eastAsia="仿宋_GB2312" w:hAnsi="Times New Roman" w:cs="Arial"/>
                <w:color w:val="000000"/>
                <w:sz w:val="24"/>
                <w:szCs w:val="20"/>
              </w:rPr>
              <w:t>私募基金信息披露系统</w:t>
            </w:r>
          </w:p>
        </w:tc>
        <w:tc>
          <w:tcPr>
            <w:tcW w:w="0" w:type="auto"/>
            <w:shd w:val="clear" w:color="auto" w:fill="auto"/>
            <w:noWrap/>
            <w:vAlign w:val="center"/>
          </w:tcPr>
          <w:p w:rsidR="00BA6D37" w:rsidRDefault="00314976">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私募证券投资类基金月度报告</w:t>
            </w:r>
          </w:p>
        </w:tc>
        <w:tc>
          <w:tcPr>
            <w:tcW w:w="0" w:type="auto"/>
            <w:vMerge w:val="restart"/>
            <w:shd w:val="clear" w:color="auto" w:fill="auto"/>
            <w:noWrap/>
            <w:vAlign w:val="center"/>
          </w:tcPr>
          <w:p w:rsidR="00BA6D37" w:rsidRDefault="00314976">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6</w:t>
            </w:r>
          </w:p>
        </w:tc>
      </w:tr>
      <w:tr w:rsidR="00BA6D37">
        <w:trPr>
          <w:trHeight w:val="397"/>
        </w:trPr>
        <w:tc>
          <w:tcPr>
            <w:tcW w:w="0" w:type="auto"/>
            <w:shd w:val="clear" w:color="auto" w:fill="auto"/>
            <w:noWrap/>
            <w:vAlign w:val="center"/>
          </w:tcPr>
          <w:p w:rsidR="00BA6D37" w:rsidRDefault="00314976">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2</w:t>
            </w:r>
          </w:p>
        </w:tc>
        <w:tc>
          <w:tcPr>
            <w:tcW w:w="1701" w:type="dxa"/>
            <w:vMerge/>
            <w:shd w:val="clear" w:color="auto" w:fill="auto"/>
            <w:vAlign w:val="center"/>
          </w:tcPr>
          <w:p w:rsidR="00BA6D37" w:rsidRDefault="00BA6D37">
            <w:pPr>
              <w:spacing w:after="0" w:line="240" w:lineRule="auto"/>
              <w:jc w:val="center"/>
              <w:rPr>
                <w:rFonts w:ascii="Times New Roman" w:eastAsia="仿宋_GB2312" w:hAnsi="Times New Roman" w:cs="Arial"/>
                <w:color w:val="000000"/>
                <w:sz w:val="24"/>
                <w:szCs w:val="20"/>
              </w:rPr>
            </w:pPr>
          </w:p>
        </w:tc>
        <w:tc>
          <w:tcPr>
            <w:tcW w:w="0" w:type="auto"/>
            <w:shd w:val="clear" w:color="auto" w:fill="auto"/>
            <w:noWrap/>
            <w:vAlign w:val="center"/>
          </w:tcPr>
          <w:p w:rsidR="00BA6D37" w:rsidRDefault="00314976">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私募证券投资类基金季度报告</w:t>
            </w:r>
          </w:p>
        </w:tc>
        <w:tc>
          <w:tcPr>
            <w:tcW w:w="0" w:type="auto"/>
            <w:vMerge/>
            <w:shd w:val="clear" w:color="auto" w:fill="auto"/>
            <w:vAlign w:val="center"/>
          </w:tcPr>
          <w:p w:rsidR="00BA6D37" w:rsidRDefault="00BA6D37">
            <w:pPr>
              <w:spacing w:after="0" w:line="240" w:lineRule="auto"/>
              <w:jc w:val="center"/>
              <w:rPr>
                <w:rFonts w:ascii="Times New Roman" w:eastAsia="仿宋" w:hAnsi="Times New Roman" w:cs="Times New Roman"/>
                <w:color w:val="000000"/>
                <w:sz w:val="24"/>
                <w:szCs w:val="24"/>
              </w:rPr>
            </w:pPr>
          </w:p>
        </w:tc>
      </w:tr>
      <w:tr w:rsidR="00BA6D37">
        <w:trPr>
          <w:trHeight w:val="397"/>
        </w:trPr>
        <w:tc>
          <w:tcPr>
            <w:tcW w:w="0" w:type="auto"/>
            <w:shd w:val="clear" w:color="auto" w:fill="auto"/>
            <w:noWrap/>
            <w:vAlign w:val="center"/>
          </w:tcPr>
          <w:p w:rsidR="00BA6D37" w:rsidRDefault="00314976">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3</w:t>
            </w:r>
          </w:p>
        </w:tc>
        <w:tc>
          <w:tcPr>
            <w:tcW w:w="1701" w:type="dxa"/>
            <w:vMerge/>
            <w:shd w:val="clear" w:color="auto" w:fill="auto"/>
            <w:noWrap/>
            <w:vAlign w:val="center"/>
          </w:tcPr>
          <w:p w:rsidR="00BA6D37" w:rsidRDefault="00BA6D37">
            <w:pPr>
              <w:spacing w:after="0" w:line="240" w:lineRule="auto"/>
              <w:jc w:val="center"/>
              <w:rPr>
                <w:rFonts w:ascii="Times New Roman" w:eastAsia="仿宋_GB2312" w:hAnsi="Times New Roman" w:cs="Arial"/>
                <w:color w:val="000000"/>
                <w:sz w:val="24"/>
                <w:szCs w:val="20"/>
              </w:rPr>
            </w:pPr>
          </w:p>
        </w:tc>
        <w:tc>
          <w:tcPr>
            <w:tcW w:w="0" w:type="auto"/>
            <w:shd w:val="clear" w:color="auto" w:fill="auto"/>
            <w:noWrap/>
            <w:vAlign w:val="center"/>
          </w:tcPr>
          <w:p w:rsidR="00BA6D37" w:rsidRDefault="00314976">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私募证券投资类基金年度报告</w:t>
            </w:r>
          </w:p>
        </w:tc>
        <w:tc>
          <w:tcPr>
            <w:tcW w:w="0" w:type="auto"/>
            <w:vMerge/>
            <w:shd w:val="clear" w:color="auto" w:fill="auto"/>
            <w:vAlign w:val="center"/>
          </w:tcPr>
          <w:p w:rsidR="00BA6D37" w:rsidRDefault="00BA6D37">
            <w:pPr>
              <w:spacing w:after="0" w:line="240" w:lineRule="auto"/>
              <w:jc w:val="center"/>
              <w:rPr>
                <w:rFonts w:ascii="Times New Roman" w:eastAsia="仿宋" w:hAnsi="Times New Roman" w:cs="Times New Roman"/>
                <w:color w:val="000000"/>
                <w:sz w:val="24"/>
                <w:szCs w:val="24"/>
              </w:rPr>
            </w:pPr>
          </w:p>
        </w:tc>
      </w:tr>
      <w:tr w:rsidR="00BA6D37">
        <w:trPr>
          <w:trHeight w:val="397"/>
        </w:trPr>
        <w:tc>
          <w:tcPr>
            <w:tcW w:w="0" w:type="auto"/>
            <w:shd w:val="clear" w:color="auto" w:fill="auto"/>
            <w:noWrap/>
            <w:vAlign w:val="center"/>
          </w:tcPr>
          <w:p w:rsidR="00BA6D37" w:rsidRDefault="00314976">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4</w:t>
            </w:r>
          </w:p>
        </w:tc>
        <w:tc>
          <w:tcPr>
            <w:tcW w:w="1701" w:type="dxa"/>
            <w:vMerge/>
            <w:shd w:val="clear" w:color="auto" w:fill="auto"/>
            <w:noWrap/>
            <w:vAlign w:val="center"/>
          </w:tcPr>
          <w:p w:rsidR="00BA6D37" w:rsidRDefault="00BA6D37">
            <w:pPr>
              <w:spacing w:after="0" w:line="240" w:lineRule="auto"/>
              <w:jc w:val="center"/>
              <w:rPr>
                <w:rFonts w:ascii="Times New Roman" w:eastAsia="仿宋_GB2312" w:hAnsi="Times New Roman" w:cs="Arial"/>
                <w:color w:val="000000"/>
                <w:sz w:val="24"/>
                <w:szCs w:val="20"/>
              </w:rPr>
            </w:pPr>
          </w:p>
        </w:tc>
        <w:tc>
          <w:tcPr>
            <w:tcW w:w="0" w:type="auto"/>
            <w:shd w:val="clear" w:color="auto" w:fill="auto"/>
            <w:noWrap/>
            <w:vAlign w:val="center"/>
          </w:tcPr>
          <w:p w:rsidR="00BA6D37" w:rsidRDefault="00314976">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私募股权</w:t>
            </w:r>
            <w:r>
              <w:rPr>
                <w:rFonts w:ascii="Times New Roman" w:eastAsia="仿宋_GB2312" w:hAnsi="Times New Roman" w:cs="Arial"/>
                <w:color w:val="000000"/>
                <w:sz w:val="24"/>
                <w:szCs w:val="20"/>
              </w:rPr>
              <w:t>（</w:t>
            </w:r>
            <w:r>
              <w:rPr>
                <w:rFonts w:ascii="Times New Roman" w:eastAsia="仿宋_GB2312" w:hAnsi="Times New Roman" w:cs="Arial" w:hint="eastAsia"/>
                <w:color w:val="000000"/>
                <w:sz w:val="24"/>
                <w:szCs w:val="20"/>
              </w:rPr>
              <w:t>含创业</w:t>
            </w:r>
            <w:r>
              <w:rPr>
                <w:rFonts w:ascii="Times New Roman" w:eastAsia="仿宋_GB2312" w:hAnsi="Times New Roman" w:cs="Arial"/>
                <w:color w:val="000000"/>
                <w:sz w:val="24"/>
                <w:szCs w:val="20"/>
              </w:rPr>
              <w:t>）</w:t>
            </w:r>
            <w:r>
              <w:rPr>
                <w:rFonts w:ascii="Times New Roman" w:eastAsia="仿宋_GB2312" w:hAnsi="Times New Roman" w:cs="Arial" w:hint="eastAsia"/>
                <w:color w:val="000000"/>
                <w:sz w:val="24"/>
                <w:szCs w:val="20"/>
              </w:rPr>
              <w:t>投资类基金季度报告</w:t>
            </w:r>
          </w:p>
        </w:tc>
        <w:tc>
          <w:tcPr>
            <w:tcW w:w="0" w:type="auto"/>
            <w:vMerge/>
            <w:shd w:val="clear" w:color="auto" w:fill="auto"/>
            <w:vAlign w:val="center"/>
          </w:tcPr>
          <w:p w:rsidR="00BA6D37" w:rsidRDefault="00BA6D37">
            <w:pPr>
              <w:spacing w:after="0" w:line="240" w:lineRule="auto"/>
              <w:jc w:val="center"/>
              <w:rPr>
                <w:rFonts w:ascii="Times New Roman" w:eastAsia="仿宋" w:hAnsi="Times New Roman" w:cs="Times New Roman"/>
                <w:color w:val="000000"/>
                <w:sz w:val="24"/>
                <w:szCs w:val="24"/>
              </w:rPr>
            </w:pPr>
          </w:p>
        </w:tc>
      </w:tr>
      <w:tr w:rsidR="00BA6D37">
        <w:trPr>
          <w:trHeight w:val="397"/>
        </w:trPr>
        <w:tc>
          <w:tcPr>
            <w:tcW w:w="0" w:type="auto"/>
            <w:shd w:val="clear" w:color="auto" w:fill="auto"/>
            <w:noWrap/>
            <w:vAlign w:val="center"/>
          </w:tcPr>
          <w:p w:rsidR="00BA6D37" w:rsidRDefault="00314976">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5</w:t>
            </w:r>
          </w:p>
        </w:tc>
        <w:tc>
          <w:tcPr>
            <w:tcW w:w="1701" w:type="dxa"/>
            <w:vMerge/>
            <w:shd w:val="clear" w:color="auto" w:fill="auto"/>
            <w:vAlign w:val="center"/>
          </w:tcPr>
          <w:p w:rsidR="00BA6D37" w:rsidRDefault="00BA6D37">
            <w:pPr>
              <w:spacing w:after="0" w:line="240" w:lineRule="auto"/>
              <w:rPr>
                <w:rFonts w:ascii="Times New Roman" w:eastAsia="仿宋_GB2312" w:hAnsi="Times New Roman" w:cs="Arial"/>
                <w:color w:val="000000"/>
                <w:sz w:val="24"/>
                <w:szCs w:val="20"/>
              </w:rPr>
            </w:pPr>
          </w:p>
        </w:tc>
        <w:tc>
          <w:tcPr>
            <w:tcW w:w="0" w:type="auto"/>
            <w:shd w:val="clear" w:color="auto" w:fill="auto"/>
            <w:noWrap/>
            <w:vAlign w:val="center"/>
          </w:tcPr>
          <w:p w:rsidR="00BA6D37" w:rsidRDefault="00314976">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私募股权</w:t>
            </w:r>
            <w:r>
              <w:rPr>
                <w:rFonts w:ascii="Times New Roman" w:eastAsia="仿宋_GB2312" w:hAnsi="Times New Roman" w:cs="Arial"/>
                <w:color w:val="000000"/>
                <w:sz w:val="24"/>
                <w:szCs w:val="20"/>
              </w:rPr>
              <w:t>（</w:t>
            </w:r>
            <w:r>
              <w:rPr>
                <w:rFonts w:ascii="Times New Roman" w:eastAsia="仿宋_GB2312" w:hAnsi="Times New Roman" w:cs="Arial" w:hint="eastAsia"/>
                <w:color w:val="000000"/>
                <w:sz w:val="24"/>
                <w:szCs w:val="20"/>
              </w:rPr>
              <w:t>含创业</w:t>
            </w:r>
            <w:r>
              <w:rPr>
                <w:rFonts w:ascii="Times New Roman" w:eastAsia="仿宋_GB2312" w:hAnsi="Times New Roman" w:cs="Arial"/>
                <w:color w:val="000000"/>
                <w:sz w:val="24"/>
                <w:szCs w:val="20"/>
              </w:rPr>
              <w:t>）</w:t>
            </w:r>
            <w:r>
              <w:rPr>
                <w:rFonts w:ascii="Times New Roman" w:eastAsia="仿宋_GB2312" w:hAnsi="Times New Roman" w:cs="Arial" w:hint="eastAsia"/>
                <w:color w:val="000000"/>
                <w:sz w:val="24"/>
                <w:szCs w:val="20"/>
              </w:rPr>
              <w:t>投资类基金半年度报告</w:t>
            </w:r>
          </w:p>
        </w:tc>
        <w:tc>
          <w:tcPr>
            <w:tcW w:w="0" w:type="auto"/>
            <w:vMerge/>
            <w:shd w:val="clear" w:color="auto" w:fill="auto"/>
            <w:vAlign w:val="center"/>
          </w:tcPr>
          <w:p w:rsidR="00BA6D37" w:rsidRDefault="00BA6D37">
            <w:pPr>
              <w:spacing w:after="0" w:line="240" w:lineRule="auto"/>
              <w:rPr>
                <w:rFonts w:ascii="Times New Roman" w:eastAsia="仿宋" w:hAnsi="Times New Roman" w:cs="Times New Roman"/>
                <w:color w:val="000000"/>
                <w:sz w:val="24"/>
                <w:szCs w:val="24"/>
              </w:rPr>
            </w:pPr>
          </w:p>
        </w:tc>
      </w:tr>
      <w:tr w:rsidR="00BA6D37">
        <w:trPr>
          <w:trHeight w:val="397"/>
        </w:trPr>
        <w:tc>
          <w:tcPr>
            <w:tcW w:w="0" w:type="auto"/>
            <w:shd w:val="clear" w:color="auto" w:fill="auto"/>
            <w:noWrap/>
            <w:vAlign w:val="center"/>
          </w:tcPr>
          <w:p w:rsidR="00BA6D37" w:rsidRDefault="00314976">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6</w:t>
            </w:r>
          </w:p>
        </w:tc>
        <w:tc>
          <w:tcPr>
            <w:tcW w:w="1701" w:type="dxa"/>
            <w:vMerge/>
            <w:shd w:val="clear" w:color="auto" w:fill="auto"/>
            <w:vAlign w:val="center"/>
          </w:tcPr>
          <w:p w:rsidR="00BA6D37" w:rsidRDefault="00BA6D37">
            <w:pPr>
              <w:spacing w:after="0" w:line="240" w:lineRule="auto"/>
              <w:rPr>
                <w:rFonts w:ascii="Times New Roman" w:eastAsia="仿宋_GB2312" w:hAnsi="Times New Roman" w:cs="Arial"/>
                <w:color w:val="000000"/>
                <w:sz w:val="24"/>
                <w:szCs w:val="20"/>
              </w:rPr>
            </w:pPr>
          </w:p>
        </w:tc>
        <w:tc>
          <w:tcPr>
            <w:tcW w:w="0" w:type="auto"/>
            <w:shd w:val="clear" w:color="auto" w:fill="auto"/>
            <w:noWrap/>
            <w:vAlign w:val="center"/>
          </w:tcPr>
          <w:p w:rsidR="00BA6D37" w:rsidRDefault="00314976">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私募股权</w:t>
            </w:r>
            <w:r>
              <w:rPr>
                <w:rFonts w:ascii="Times New Roman" w:eastAsia="仿宋_GB2312" w:hAnsi="Times New Roman" w:cs="Arial"/>
                <w:color w:val="000000"/>
                <w:sz w:val="24"/>
                <w:szCs w:val="20"/>
              </w:rPr>
              <w:t>（</w:t>
            </w:r>
            <w:r>
              <w:rPr>
                <w:rFonts w:ascii="Times New Roman" w:eastAsia="仿宋_GB2312" w:hAnsi="Times New Roman" w:cs="Arial" w:hint="eastAsia"/>
                <w:color w:val="000000"/>
                <w:sz w:val="24"/>
                <w:szCs w:val="20"/>
              </w:rPr>
              <w:t>含创业</w:t>
            </w:r>
            <w:r>
              <w:rPr>
                <w:rFonts w:ascii="Times New Roman" w:eastAsia="仿宋_GB2312" w:hAnsi="Times New Roman" w:cs="Arial"/>
                <w:color w:val="000000"/>
                <w:sz w:val="24"/>
                <w:szCs w:val="20"/>
              </w:rPr>
              <w:t>）</w:t>
            </w:r>
            <w:r>
              <w:rPr>
                <w:rFonts w:ascii="Times New Roman" w:eastAsia="仿宋_GB2312" w:hAnsi="Times New Roman" w:cs="Arial" w:hint="eastAsia"/>
                <w:color w:val="000000"/>
                <w:sz w:val="24"/>
                <w:szCs w:val="20"/>
              </w:rPr>
              <w:t>投资类基金年度报告</w:t>
            </w:r>
          </w:p>
        </w:tc>
        <w:tc>
          <w:tcPr>
            <w:tcW w:w="0" w:type="auto"/>
            <w:vMerge/>
            <w:shd w:val="clear" w:color="auto" w:fill="auto"/>
            <w:vAlign w:val="center"/>
          </w:tcPr>
          <w:p w:rsidR="00BA6D37" w:rsidRDefault="00BA6D37">
            <w:pPr>
              <w:spacing w:after="0" w:line="240" w:lineRule="auto"/>
              <w:rPr>
                <w:rFonts w:ascii="Times New Roman" w:eastAsia="仿宋" w:hAnsi="Times New Roman" w:cs="Times New Roman"/>
                <w:color w:val="000000"/>
                <w:sz w:val="24"/>
                <w:szCs w:val="24"/>
              </w:rPr>
            </w:pPr>
          </w:p>
        </w:tc>
      </w:tr>
      <w:tr w:rsidR="0085315C">
        <w:trPr>
          <w:trHeight w:val="397"/>
        </w:trPr>
        <w:tc>
          <w:tcPr>
            <w:tcW w:w="0" w:type="auto"/>
            <w:shd w:val="clear" w:color="auto" w:fill="auto"/>
            <w:noWrap/>
            <w:vAlign w:val="center"/>
          </w:tcPr>
          <w:p w:rsidR="0085315C" w:rsidRDefault="0085315C">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7</w:t>
            </w:r>
          </w:p>
        </w:tc>
        <w:tc>
          <w:tcPr>
            <w:tcW w:w="1701" w:type="dxa"/>
            <w:vMerge w:val="restart"/>
            <w:shd w:val="clear" w:color="auto" w:fill="auto"/>
            <w:vAlign w:val="center"/>
          </w:tcPr>
          <w:p w:rsidR="0085315C" w:rsidRDefault="0085315C">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color w:val="000000"/>
                <w:sz w:val="24"/>
                <w:szCs w:val="20"/>
              </w:rPr>
              <w:t>资产管理业务综合报送平台</w:t>
            </w:r>
          </w:p>
        </w:tc>
        <w:tc>
          <w:tcPr>
            <w:tcW w:w="0" w:type="auto"/>
            <w:shd w:val="clear" w:color="auto" w:fill="auto"/>
            <w:noWrap/>
            <w:vAlign w:val="center"/>
          </w:tcPr>
          <w:p w:rsidR="0085315C" w:rsidRDefault="0085315C">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color w:val="000000"/>
                <w:sz w:val="24"/>
                <w:szCs w:val="20"/>
              </w:rPr>
              <w:t>产品运行表（季度更新）</w:t>
            </w:r>
          </w:p>
        </w:tc>
        <w:tc>
          <w:tcPr>
            <w:tcW w:w="0" w:type="auto"/>
            <w:vMerge w:val="restart"/>
            <w:shd w:val="clear" w:color="auto" w:fill="auto"/>
            <w:vAlign w:val="center"/>
          </w:tcPr>
          <w:p w:rsidR="0085315C" w:rsidRDefault="0085315C">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6</w:t>
            </w:r>
          </w:p>
        </w:tc>
      </w:tr>
      <w:tr w:rsidR="0085315C">
        <w:trPr>
          <w:trHeight w:val="397"/>
        </w:trPr>
        <w:tc>
          <w:tcPr>
            <w:tcW w:w="0" w:type="auto"/>
            <w:shd w:val="clear" w:color="auto" w:fill="auto"/>
            <w:noWrap/>
            <w:vAlign w:val="center"/>
          </w:tcPr>
          <w:p w:rsidR="0085315C" w:rsidRDefault="0085315C">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8</w:t>
            </w:r>
          </w:p>
        </w:tc>
        <w:tc>
          <w:tcPr>
            <w:tcW w:w="1701" w:type="dxa"/>
            <w:vMerge/>
            <w:shd w:val="clear" w:color="auto" w:fill="auto"/>
            <w:vAlign w:val="center"/>
          </w:tcPr>
          <w:p w:rsidR="0085315C" w:rsidRDefault="0085315C">
            <w:pPr>
              <w:spacing w:after="0" w:line="240" w:lineRule="auto"/>
              <w:rPr>
                <w:rFonts w:ascii="Times New Roman" w:eastAsia="仿宋_GB2312" w:hAnsi="Times New Roman" w:cs="Arial"/>
                <w:color w:val="000000"/>
                <w:sz w:val="24"/>
                <w:szCs w:val="20"/>
              </w:rPr>
            </w:pPr>
          </w:p>
        </w:tc>
        <w:tc>
          <w:tcPr>
            <w:tcW w:w="0" w:type="auto"/>
            <w:shd w:val="clear" w:color="auto" w:fill="auto"/>
            <w:noWrap/>
            <w:vAlign w:val="center"/>
          </w:tcPr>
          <w:p w:rsidR="0085315C" w:rsidRDefault="0085315C">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产品清算（清盘信息）</w:t>
            </w:r>
          </w:p>
        </w:tc>
        <w:tc>
          <w:tcPr>
            <w:tcW w:w="0" w:type="auto"/>
            <w:vMerge/>
            <w:shd w:val="clear" w:color="auto" w:fill="auto"/>
            <w:vAlign w:val="center"/>
          </w:tcPr>
          <w:p w:rsidR="0085315C" w:rsidRDefault="0085315C">
            <w:pPr>
              <w:spacing w:after="0" w:line="240" w:lineRule="auto"/>
              <w:rPr>
                <w:rFonts w:ascii="Times New Roman" w:eastAsia="仿宋" w:hAnsi="Times New Roman" w:cs="Times New Roman"/>
                <w:color w:val="000000"/>
                <w:sz w:val="24"/>
                <w:szCs w:val="24"/>
              </w:rPr>
            </w:pPr>
          </w:p>
        </w:tc>
      </w:tr>
      <w:tr w:rsidR="0085315C">
        <w:trPr>
          <w:trHeight w:val="397"/>
        </w:trPr>
        <w:tc>
          <w:tcPr>
            <w:tcW w:w="0" w:type="auto"/>
            <w:shd w:val="clear" w:color="auto" w:fill="auto"/>
            <w:noWrap/>
            <w:vAlign w:val="center"/>
          </w:tcPr>
          <w:p w:rsidR="0085315C" w:rsidRDefault="0085315C">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9</w:t>
            </w:r>
          </w:p>
        </w:tc>
        <w:tc>
          <w:tcPr>
            <w:tcW w:w="1701" w:type="dxa"/>
            <w:vMerge/>
            <w:shd w:val="clear" w:color="auto" w:fill="auto"/>
            <w:vAlign w:val="center"/>
          </w:tcPr>
          <w:p w:rsidR="0085315C" w:rsidRDefault="0085315C">
            <w:pPr>
              <w:spacing w:after="0" w:line="240" w:lineRule="auto"/>
              <w:rPr>
                <w:rFonts w:ascii="Times New Roman" w:eastAsia="仿宋_GB2312" w:hAnsi="Times New Roman" w:cs="Arial"/>
                <w:color w:val="000000"/>
                <w:sz w:val="24"/>
                <w:szCs w:val="20"/>
              </w:rPr>
            </w:pPr>
          </w:p>
        </w:tc>
        <w:tc>
          <w:tcPr>
            <w:tcW w:w="0" w:type="auto"/>
            <w:shd w:val="clear" w:color="auto" w:fill="auto"/>
            <w:noWrap/>
            <w:vAlign w:val="center"/>
          </w:tcPr>
          <w:p w:rsidR="0085315C" w:rsidRDefault="0085315C">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产品顾问关系解除表（清算情况表）</w:t>
            </w:r>
          </w:p>
        </w:tc>
        <w:tc>
          <w:tcPr>
            <w:tcW w:w="0" w:type="auto"/>
            <w:vMerge/>
            <w:shd w:val="clear" w:color="auto" w:fill="auto"/>
            <w:vAlign w:val="center"/>
          </w:tcPr>
          <w:p w:rsidR="0085315C" w:rsidRDefault="0085315C">
            <w:pPr>
              <w:spacing w:after="0" w:line="240" w:lineRule="auto"/>
              <w:rPr>
                <w:rFonts w:ascii="Times New Roman" w:eastAsia="仿宋" w:hAnsi="Times New Roman" w:cs="Times New Roman"/>
                <w:color w:val="000000"/>
                <w:sz w:val="24"/>
                <w:szCs w:val="24"/>
              </w:rPr>
            </w:pPr>
          </w:p>
        </w:tc>
      </w:tr>
      <w:tr w:rsidR="0085315C">
        <w:trPr>
          <w:trHeight w:val="397"/>
        </w:trPr>
        <w:tc>
          <w:tcPr>
            <w:tcW w:w="0" w:type="auto"/>
            <w:shd w:val="clear" w:color="auto" w:fill="auto"/>
            <w:noWrap/>
            <w:vAlign w:val="center"/>
          </w:tcPr>
          <w:p w:rsidR="0085315C" w:rsidRDefault="0085315C">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10</w:t>
            </w:r>
          </w:p>
        </w:tc>
        <w:tc>
          <w:tcPr>
            <w:tcW w:w="1701" w:type="dxa"/>
            <w:vMerge/>
            <w:shd w:val="clear" w:color="auto" w:fill="auto"/>
            <w:vAlign w:val="center"/>
          </w:tcPr>
          <w:p w:rsidR="0085315C" w:rsidRDefault="0085315C">
            <w:pPr>
              <w:spacing w:after="0" w:line="240" w:lineRule="auto"/>
              <w:rPr>
                <w:rFonts w:ascii="Times New Roman" w:eastAsia="仿宋_GB2312" w:hAnsi="Times New Roman" w:cs="Arial"/>
                <w:color w:val="000000"/>
                <w:sz w:val="24"/>
                <w:szCs w:val="20"/>
              </w:rPr>
            </w:pPr>
          </w:p>
        </w:tc>
        <w:tc>
          <w:tcPr>
            <w:tcW w:w="0" w:type="auto"/>
            <w:shd w:val="clear" w:color="auto" w:fill="auto"/>
            <w:noWrap/>
            <w:vAlign w:val="center"/>
          </w:tcPr>
          <w:p w:rsidR="0085315C" w:rsidRDefault="0085315C">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年度财务监测报告</w:t>
            </w:r>
          </w:p>
        </w:tc>
        <w:tc>
          <w:tcPr>
            <w:tcW w:w="0" w:type="auto"/>
            <w:vMerge/>
            <w:shd w:val="clear" w:color="auto" w:fill="auto"/>
            <w:vAlign w:val="center"/>
          </w:tcPr>
          <w:p w:rsidR="0085315C" w:rsidRDefault="0085315C">
            <w:pPr>
              <w:spacing w:after="0" w:line="240" w:lineRule="auto"/>
              <w:rPr>
                <w:rFonts w:ascii="Times New Roman" w:eastAsia="仿宋" w:hAnsi="Times New Roman" w:cs="Times New Roman"/>
                <w:color w:val="000000"/>
                <w:sz w:val="24"/>
                <w:szCs w:val="24"/>
              </w:rPr>
            </w:pPr>
          </w:p>
        </w:tc>
      </w:tr>
      <w:tr w:rsidR="0085315C">
        <w:trPr>
          <w:trHeight w:val="397"/>
        </w:trPr>
        <w:tc>
          <w:tcPr>
            <w:tcW w:w="0" w:type="auto"/>
            <w:shd w:val="clear" w:color="auto" w:fill="auto"/>
            <w:noWrap/>
            <w:vAlign w:val="center"/>
          </w:tcPr>
          <w:p w:rsidR="0085315C" w:rsidRDefault="0085315C">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1</w:t>
            </w:r>
            <w:r>
              <w:rPr>
                <w:rFonts w:ascii="Times New Roman" w:eastAsia="仿宋" w:hAnsi="Times New Roman" w:cs="Times New Roman"/>
                <w:color w:val="000000"/>
                <w:sz w:val="24"/>
                <w:szCs w:val="24"/>
              </w:rPr>
              <w:t>1</w:t>
            </w:r>
          </w:p>
        </w:tc>
        <w:tc>
          <w:tcPr>
            <w:tcW w:w="1701" w:type="dxa"/>
            <w:vMerge/>
            <w:shd w:val="clear" w:color="auto" w:fill="auto"/>
            <w:vAlign w:val="center"/>
          </w:tcPr>
          <w:p w:rsidR="0085315C" w:rsidRDefault="0085315C">
            <w:pPr>
              <w:spacing w:after="0" w:line="240" w:lineRule="auto"/>
              <w:rPr>
                <w:rFonts w:ascii="Times New Roman" w:eastAsia="仿宋_GB2312" w:hAnsi="Times New Roman" w:cs="Arial"/>
                <w:color w:val="000000"/>
                <w:sz w:val="24"/>
                <w:szCs w:val="20"/>
              </w:rPr>
            </w:pPr>
          </w:p>
        </w:tc>
        <w:tc>
          <w:tcPr>
            <w:tcW w:w="0" w:type="auto"/>
            <w:shd w:val="clear" w:color="auto" w:fill="auto"/>
            <w:noWrap/>
            <w:vAlign w:val="center"/>
          </w:tcPr>
          <w:p w:rsidR="0085315C" w:rsidRDefault="0085315C">
            <w:pPr>
              <w:spacing w:after="0" w:line="240" w:lineRule="auto"/>
              <w:rPr>
                <w:rFonts w:ascii="Times New Roman" w:eastAsia="仿宋_GB2312" w:hAnsi="Times New Roman" w:cs="Arial"/>
                <w:color w:val="000000"/>
                <w:sz w:val="24"/>
                <w:szCs w:val="20"/>
              </w:rPr>
            </w:pPr>
            <w:r w:rsidRPr="00C26A1D">
              <w:rPr>
                <w:rFonts w:ascii="Times New Roman" w:eastAsia="仿宋_GB2312" w:hAnsi="Times New Roman" w:cs="Arial"/>
                <w:color w:val="000000"/>
                <w:sz w:val="24"/>
                <w:szCs w:val="20"/>
              </w:rPr>
              <w:t>量化私募基金运行报表</w:t>
            </w:r>
          </w:p>
        </w:tc>
        <w:tc>
          <w:tcPr>
            <w:tcW w:w="0" w:type="auto"/>
            <w:vMerge/>
            <w:shd w:val="clear" w:color="auto" w:fill="auto"/>
            <w:vAlign w:val="center"/>
          </w:tcPr>
          <w:p w:rsidR="0085315C" w:rsidRDefault="0085315C">
            <w:pPr>
              <w:spacing w:after="0" w:line="240" w:lineRule="auto"/>
              <w:rPr>
                <w:rFonts w:ascii="Times New Roman" w:eastAsia="仿宋" w:hAnsi="Times New Roman" w:cs="Times New Roman"/>
                <w:color w:val="000000"/>
                <w:sz w:val="24"/>
                <w:szCs w:val="24"/>
              </w:rPr>
            </w:pPr>
          </w:p>
        </w:tc>
      </w:tr>
      <w:tr w:rsidR="0085315C">
        <w:trPr>
          <w:trHeight w:val="397"/>
        </w:trPr>
        <w:tc>
          <w:tcPr>
            <w:tcW w:w="0" w:type="auto"/>
            <w:shd w:val="clear" w:color="auto" w:fill="auto"/>
            <w:noWrap/>
            <w:vAlign w:val="center"/>
          </w:tcPr>
          <w:p w:rsidR="0085315C" w:rsidRDefault="0085315C">
            <w:pPr>
              <w:spacing w:after="0" w:line="240" w:lineRule="auto"/>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1</w:t>
            </w:r>
            <w:r>
              <w:rPr>
                <w:rFonts w:ascii="Times New Roman" w:eastAsia="仿宋" w:hAnsi="Times New Roman" w:cs="Times New Roman"/>
                <w:color w:val="000000"/>
                <w:sz w:val="24"/>
                <w:szCs w:val="24"/>
              </w:rPr>
              <w:t>2</w:t>
            </w:r>
          </w:p>
        </w:tc>
        <w:tc>
          <w:tcPr>
            <w:tcW w:w="1701" w:type="dxa"/>
            <w:vMerge/>
            <w:shd w:val="clear" w:color="auto" w:fill="auto"/>
            <w:vAlign w:val="center"/>
          </w:tcPr>
          <w:p w:rsidR="0085315C" w:rsidRDefault="0085315C">
            <w:pPr>
              <w:spacing w:after="0" w:line="240" w:lineRule="auto"/>
              <w:rPr>
                <w:rFonts w:ascii="Times New Roman" w:eastAsia="仿宋_GB2312" w:hAnsi="Times New Roman" w:cs="Arial"/>
                <w:color w:val="000000"/>
                <w:sz w:val="24"/>
                <w:szCs w:val="20"/>
              </w:rPr>
            </w:pPr>
          </w:p>
        </w:tc>
        <w:tc>
          <w:tcPr>
            <w:tcW w:w="0" w:type="auto"/>
            <w:shd w:val="clear" w:color="auto" w:fill="auto"/>
            <w:noWrap/>
            <w:vAlign w:val="center"/>
          </w:tcPr>
          <w:p w:rsidR="0085315C" w:rsidRPr="00C26A1D" w:rsidRDefault="0085315C">
            <w:pPr>
              <w:spacing w:after="0" w:line="240" w:lineRule="auto"/>
              <w:rPr>
                <w:rFonts w:ascii="Times New Roman" w:eastAsia="仿宋_GB2312" w:hAnsi="Times New Roman" w:cs="Arial"/>
                <w:color w:val="000000"/>
                <w:sz w:val="24"/>
                <w:szCs w:val="20"/>
              </w:rPr>
            </w:pPr>
            <w:r>
              <w:rPr>
                <w:rFonts w:ascii="Times New Roman" w:eastAsia="仿宋_GB2312" w:hAnsi="Times New Roman" w:cs="Arial" w:hint="eastAsia"/>
                <w:color w:val="000000"/>
                <w:sz w:val="24"/>
                <w:szCs w:val="20"/>
              </w:rPr>
              <w:t>规模以上证券类管理人</w:t>
            </w:r>
            <w:r w:rsidRPr="00AE2D58">
              <w:rPr>
                <w:rFonts w:ascii="Times New Roman" w:eastAsia="仿宋_GB2312" w:hAnsi="Times New Roman" w:cs="Arial" w:hint="eastAsia"/>
                <w:color w:val="000000"/>
                <w:sz w:val="24"/>
                <w:szCs w:val="20"/>
              </w:rPr>
              <w:t>报表</w:t>
            </w:r>
          </w:p>
        </w:tc>
        <w:tc>
          <w:tcPr>
            <w:tcW w:w="0" w:type="auto"/>
            <w:vMerge/>
            <w:shd w:val="clear" w:color="auto" w:fill="auto"/>
            <w:vAlign w:val="center"/>
          </w:tcPr>
          <w:p w:rsidR="0085315C" w:rsidRDefault="0085315C">
            <w:pPr>
              <w:spacing w:after="0" w:line="240" w:lineRule="auto"/>
              <w:rPr>
                <w:rFonts w:ascii="Times New Roman" w:eastAsia="仿宋" w:hAnsi="Times New Roman" w:cs="Times New Roman"/>
                <w:color w:val="000000"/>
                <w:sz w:val="24"/>
                <w:szCs w:val="24"/>
              </w:rPr>
            </w:pPr>
          </w:p>
        </w:tc>
      </w:tr>
    </w:tbl>
    <w:p w:rsidR="00BA6D37" w:rsidRDefault="00314976">
      <w:pPr>
        <w:pStyle w:val="af1"/>
        <w:numPr>
          <w:ilvl w:val="0"/>
          <w:numId w:val="2"/>
        </w:numPr>
        <w:wordWrap/>
        <w:spacing w:line="560" w:lineRule="exact"/>
        <w:ind w:firstLineChars="0"/>
      </w:pPr>
      <w:r>
        <w:rPr>
          <w:rFonts w:hint="eastAsia"/>
        </w:rPr>
        <w:t>分类标准的架构</w:t>
      </w:r>
    </w:p>
    <w:p w:rsidR="00BA6D37" w:rsidRDefault="00314976">
      <w:pPr>
        <w:pStyle w:val="af2"/>
        <w:numPr>
          <w:ilvl w:val="0"/>
          <w:numId w:val="3"/>
        </w:numPr>
        <w:wordWrap/>
        <w:spacing w:line="560" w:lineRule="exact"/>
        <w:ind w:firstLineChars="0"/>
      </w:pPr>
      <w:r>
        <w:rPr>
          <w:rFonts w:hint="eastAsia"/>
        </w:rPr>
        <w:t>总体架构</w:t>
      </w:r>
    </w:p>
    <w:p w:rsidR="00BA6D37" w:rsidRDefault="00314976">
      <w:pPr>
        <w:pStyle w:val="af4"/>
        <w:wordWrap/>
        <w:spacing w:after="0" w:line="560" w:lineRule="exact"/>
      </w:pPr>
      <w:r>
        <w:rPr>
          <w:rFonts w:hint="eastAsia"/>
        </w:rPr>
        <w:t>分类标准的架构设计分为逻辑设计和物理结构两个层面：逻辑设计是指以</w:t>
      </w:r>
      <w:r>
        <w:rPr>
          <w:rFonts w:hint="eastAsia"/>
        </w:rPr>
        <w:t>XBRL</w:t>
      </w:r>
      <w:r>
        <w:rPr>
          <w:rFonts w:hint="eastAsia"/>
        </w:rPr>
        <w:t>语言反映</w:t>
      </w:r>
      <w:r>
        <w:t>私募基金信息披露和</w:t>
      </w:r>
      <w:r>
        <w:rPr>
          <w:rFonts w:hint="eastAsia"/>
        </w:rPr>
        <w:t>备案的要求；物理结构是指分类标准的各文件和文件夹的层级设计与组织方式。具体的实现方式如图</w:t>
      </w:r>
      <w:r>
        <w:t>1</w:t>
      </w:r>
      <w:r>
        <w:rPr>
          <w:rFonts w:hint="eastAsia"/>
        </w:rPr>
        <w:t>所示。</w:t>
      </w:r>
    </w:p>
    <w:p w:rsidR="00BA6D37" w:rsidRDefault="00314976">
      <w:pPr>
        <w:pStyle w:val="ab0"/>
        <w:spacing w:afterLines="0" w:line="240" w:lineRule="auto"/>
        <w:ind w:firstLineChars="0" w:firstLine="0"/>
        <w:jc w:val="center"/>
      </w:pPr>
      <w:r>
        <w:rPr>
          <w:noProof/>
        </w:rPr>
        <w:lastRenderedPageBreak/>
        <w:drawing>
          <wp:inline distT="0" distB="0" distL="0" distR="0">
            <wp:extent cx="5848350" cy="3790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848350" cy="3790950"/>
                    </a:xfrm>
                    <a:prstGeom prst="rect">
                      <a:avLst/>
                    </a:prstGeom>
                  </pic:spPr>
                </pic:pic>
              </a:graphicData>
            </a:graphic>
          </wp:inline>
        </w:drawing>
      </w:r>
    </w:p>
    <w:p w:rsidR="00BA6D37" w:rsidRDefault="00314976">
      <w:pPr>
        <w:pStyle w:val="ab0"/>
        <w:spacing w:after="240"/>
        <w:ind w:firstLine="482"/>
        <w:jc w:val="center"/>
        <w:rPr>
          <w:b/>
          <w:sz w:val="24"/>
          <w:szCs w:val="24"/>
        </w:rPr>
      </w:pPr>
      <w:r>
        <w:rPr>
          <w:rFonts w:hint="eastAsia"/>
          <w:b/>
          <w:sz w:val="24"/>
          <w:szCs w:val="24"/>
        </w:rPr>
        <w:t>图</w:t>
      </w:r>
      <w:r>
        <w:rPr>
          <w:b/>
          <w:sz w:val="24"/>
          <w:szCs w:val="24"/>
        </w:rPr>
        <w:t>1</w:t>
      </w:r>
      <w:r>
        <w:rPr>
          <w:rFonts w:hint="eastAsia"/>
          <w:b/>
          <w:sz w:val="24"/>
          <w:szCs w:val="24"/>
        </w:rPr>
        <w:t>：</w:t>
      </w:r>
      <w:r>
        <w:rPr>
          <w:b/>
          <w:sz w:val="24"/>
          <w:szCs w:val="24"/>
        </w:rPr>
        <w:t>分类标准</w:t>
      </w:r>
      <w:r>
        <w:rPr>
          <w:rFonts w:hint="eastAsia"/>
          <w:b/>
          <w:sz w:val="24"/>
          <w:szCs w:val="24"/>
        </w:rPr>
        <w:t>架构图</w:t>
      </w:r>
    </w:p>
    <w:p w:rsidR="00BA6D37" w:rsidRDefault="00314976">
      <w:pPr>
        <w:pStyle w:val="af2"/>
        <w:numPr>
          <w:ilvl w:val="0"/>
          <w:numId w:val="3"/>
        </w:numPr>
        <w:wordWrap/>
        <w:spacing w:line="560" w:lineRule="exact"/>
        <w:ind w:firstLineChars="0"/>
        <w:rPr>
          <w:b w:val="0"/>
        </w:rPr>
      </w:pPr>
      <w:r>
        <w:rPr>
          <w:rFonts w:hint="eastAsia"/>
        </w:rPr>
        <w:t>分类标准的逻辑设计</w:t>
      </w:r>
    </w:p>
    <w:p w:rsidR="00BA6D37" w:rsidRDefault="00314976">
      <w:pPr>
        <w:pStyle w:val="af4"/>
        <w:wordWrap/>
        <w:spacing w:after="0" w:line="560" w:lineRule="exact"/>
      </w:pPr>
      <w:r>
        <w:rPr>
          <w:rFonts w:hint="eastAsia"/>
        </w:rPr>
        <w:t>按照</w:t>
      </w:r>
      <w:r>
        <w:t>上述架构，</w:t>
      </w:r>
      <w:r>
        <w:rPr>
          <w:rFonts w:hint="eastAsia"/>
        </w:rPr>
        <w:t>元素和扩展链接角色等分类标准的逻辑设计具体如下：</w:t>
      </w:r>
    </w:p>
    <w:p w:rsidR="00BA6D37" w:rsidRDefault="00314976">
      <w:pPr>
        <w:pStyle w:val="af3"/>
        <w:wordWrap/>
        <w:spacing w:after="0" w:line="560" w:lineRule="exact"/>
      </w:pPr>
      <w:r>
        <w:t>1</w:t>
      </w:r>
      <w:r>
        <w:rPr>
          <w:rFonts w:hint="eastAsia"/>
        </w:rPr>
        <w:t>．元素</w:t>
      </w:r>
    </w:p>
    <w:p w:rsidR="00BA6D37" w:rsidRDefault="00314976">
      <w:pPr>
        <w:pStyle w:val="af4"/>
        <w:wordWrap/>
        <w:spacing w:after="0" w:line="560" w:lineRule="exact"/>
      </w:pPr>
      <w:r>
        <w:t>分类标准中的元素是依据</w:t>
      </w:r>
      <w:r>
        <w:t>GB/T25500-2010</w:t>
      </w:r>
      <w:r>
        <w:t>《可扩展商业报告语言（</w:t>
      </w:r>
      <w:r>
        <w:t>XBRL</w:t>
      </w:r>
      <w:r>
        <w:t>）技术规范》系列国家标准，基于</w:t>
      </w:r>
      <w:r>
        <w:rPr>
          <w:rFonts w:hint="eastAsia"/>
        </w:rPr>
        <w:t>中基协印发</w:t>
      </w:r>
      <w:r>
        <w:t>的</w:t>
      </w:r>
      <w:r>
        <w:rPr>
          <w:rFonts w:hint="eastAsia"/>
        </w:rPr>
        <w:t>《私募投资基金信息披露内容与格式指引</w:t>
      </w:r>
      <w:r>
        <w:rPr>
          <w:rFonts w:hint="eastAsia"/>
        </w:rPr>
        <w:t>2</w:t>
      </w:r>
      <w:r>
        <w:rPr>
          <w:rFonts w:hint="eastAsia"/>
        </w:rPr>
        <w:t>号</w:t>
      </w:r>
      <w:r>
        <w:t>》、《</w:t>
      </w:r>
      <w:r>
        <w:rPr>
          <w:rFonts w:hint="eastAsia"/>
        </w:rPr>
        <w:t>私募投资基金信息披露内容与格式指引</w:t>
      </w:r>
      <w:r>
        <w:rPr>
          <w:rFonts w:hint="eastAsia"/>
        </w:rPr>
        <w:t>1</w:t>
      </w:r>
      <w:r>
        <w:rPr>
          <w:rFonts w:hint="eastAsia"/>
        </w:rPr>
        <w:t>号</w:t>
      </w:r>
      <w:r>
        <w:t>》</w:t>
      </w:r>
      <w:r>
        <w:rPr>
          <w:rFonts w:hint="eastAsia"/>
        </w:rPr>
        <w:t>及</w:t>
      </w:r>
      <w:r>
        <w:rPr>
          <w:rFonts w:cs="Times New Roman" w:hint="eastAsia"/>
          <w:szCs w:val="28"/>
        </w:rPr>
        <w:t>《</w:t>
      </w:r>
      <w:r>
        <w:rPr>
          <w:rFonts w:cs="Times New Roman"/>
          <w:szCs w:val="28"/>
        </w:rPr>
        <w:t>关于资产管理业务综合报送平台上线运行相关安排的说明</w:t>
      </w:r>
      <w:r>
        <w:rPr>
          <w:rFonts w:cs="Times New Roman" w:hint="eastAsia"/>
          <w:szCs w:val="28"/>
        </w:rPr>
        <w:t>》等相关文件</w:t>
      </w:r>
      <w:r>
        <w:t>提取的，用于监管要求私募基金的季度更新、信息披露等的概念。</w:t>
      </w:r>
    </w:p>
    <w:p w:rsidR="00BA6D37" w:rsidRDefault="00314976">
      <w:pPr>
        <w:pStyle w:val="af4"/>
        <w:wordWrap/>
        <w:spacing w:after="0" w:line="560" w:lineRule="exact"/>
      </w:pPr>
      <w:r>
        <w:rPr>
          <w:rFonts w:hint="eastAsia"/>
        </w:rPr>
        <w:t>本版分类标准未设置</w:t>
      </w:r>
      <w:r>
        <w:t>维度结构，</w:t>
      </w:r>
      <w:r>
        <w:rPr>
          <w:rFonts w:hint="eastAsia"/>
        </w:rPr>
        <w:t>使用的</w:t>
      </w:r>
      <w:r>
        <w:rPr>
          <w:rFonts w:hint="eastAsia"/>
        </w:rPr>
        <w:t>1</w:t>
      </w:r>
      <w:r>
        <w:t>,</w:t>
      </w:r>
      <w:r>
        <w:rPr>
          <w:rFonts w:hint="eastAsia"/>
        </w:rPr>
        <w:t>3</w:t>
      </w:r>
      <w:r>
        <w:t>55</w:t>
      </w:r>
      <w:r>
        <w:rPr>
          <w:rFonts w:hint="eastAsia"/>
        </w:rPr>
        <w:t>个概念（元素）</w:t>
      </w:r>
      <w:r>
        <w:t>均为</w:t>
      </w:r>
      <w:r>
        <w:rPr>
          <w:rFonts w:hint="eastAsia"/>
        </w:rPr>
        <w:t>GB/T25500-2010</w:t>
      </w:r>
      <w:r>
        <w:rPr>
          <w:rFonts w:hint="eastAsia"/>
        </w:rPr>
        <w:t>《可扩展商业报告语言（</w:t>
      </w:r>
      <w:r>
        <w:rPr>
          <w:rFonts w:hint="eastAsia"/>
        </w:rPr>
        <w:t>XBRL</w:t>
      </w:r>
      <w:r>
        <w:rPr>
          <w:rFonts w:hint="eastAsia"/>
        </w:rPr>
        <w:t>）技术规范》系列国家标准所定义的数据项（</w:t>
      </w:r>
      <w:r>
        <w:rPr>
          <w:rFonts w:hint="eastAsia"/>
        </w:rPr>
        <w:t>Item</w:t>
      </w:r>
      <w:r>
        <w:rPr>
          <w:rFonts w:hint="eastAsia"/>
        </w:rPr>
        <w:t>）。</w:t>
      </w:r>
    </w:p>
    <w:p w:rsidR="00BA6D37" w:rsidRDefault="00314976">
      <w:pPr>
        <w:pStyle w:val="af5"/>
        <w:wordWrap/>
        <w:spacing w:after="0" w:line="560" w:lineRule="exact"/>
      </w:pPr>
      <w:r>
        <w:rPr>
          <w:rFonts w:hint="eastAsia"/>
        </w:rPr>
        <w:t>（</w:t>
      </w:r>
      <w:r>
        <w:rPr>
          <w:rFonts w:hint="eastAsia"/>
        </w:rPr>
        <w:t>1</w:t>
      </w:r>
      <w:r>
        <w:rPr>
          <w:rFonts w:hint="eastAsia"/>
        </w:rPr>
        <w:t>）元素属性</w:t>
      </w:r>
    </w:p>
    <w:p w:rsidR="00BA6D37" w:rsidRDefault="00314976">
      <w:pPr>
        <w:pStyle w:val="af4"/>
        <w:wordWrap/>
        <w:spacing w:after="0" w:line="560" w:lineRule="exact"/>
      </w:pPr>
      <w:r>
        <w:rPr>
          <w:rFonts w:hint="eastAsia"/>
        </w:rPr>
        <w:lastRenderedPageBreak/>
        <w:t>分类标准中的</w:t>
      </w:r>
      <w:r>
        <w:t>每</w:t>
      </w:r>
      <w:r>
        <w:rPr>
          <w:rFonts w:hint="eastAsia"/>
        </w:rPr>
        <w:t>项</w:t>
      </w:r>
      <w:r>
        <w:t>元素</w:t>
      </w:r>
      <w:r>
        <w:rPr>
          <w:rFonts w:hint="eastAsia"/>
        </w:rPr>
        <w:t>都</w:t>
      </w:r>
      <w:r>
        <w:t>包含一系列属性</w:t>
      </w:r>
      <w:r>
        <w:rPr>
          <w:rFonts w:hint="eastAsia"/>
        </w:rPr>
        <w:t>。图</w:t>
      </w:r>
      <w:r>
        <w:t>2</w:t>
      </w:r>
      <w:r>
        <w:rPr>
          <w:rFonts w:hint="eastAsia"/>
        </w:rPr>
        <w:t>以“报告起始日”为例列举了部分元素属性：</w:t>
      </w:r>
    </w:p>
    <w:p w:rsidR="00BA6D37" w:rsidRDefault="00314976">
      <w:pPr>
        <w:spacing w:after="0" w:line="240" w:lineRule="auto"/>
        <w:jc w:val="center"/>
      </w:pPr>
      <w:r>
        <w:rPr>
          <w:noProof/>
        </w:rPr>
        <w:drawing>
          <wp:inline distT="0" distB="0" distL="0" distR="0">
            <wp:extent cx="4476750" cy="485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476750" cy="485775"/>
                    </a:xfrm>
                    <a:prstGeom prst="rect">
                      <a:avLst/>
                    </a:prstGeom>
                  </pic:spPr>
                </pic:pic>
              </a:graphicData>
            </a:graphic>
          </wp:inline>
        </w:drawing>
      </w:r>
    </w:p>
    <w:p w:rsidR="00BA6D37" w:rsidRDefault="00314976">
      <w:pPr>
        <w:pStyle w:val="ab0"/>
        <w:spacing w:afterLines="0" w:line="560" w:lineRule="exact"/>
        <w:ind w:firstLineChars="0" w:firstLine="0"/>
        <w:jc w:val="center"/>
        <w:rPr>
          <w:b/>
          <w:sz w:val="24"/>
          <w:szCs w:val="24"/>
        </w:rPr>
      </w:pPr>
      <w:r>
        <w:rPr>
          <w:rFonts w:hint="eastAsia"/>
          <w:b/>
          <w:sz w:val="24"/>
          <w:szCs w:val="24"/>
        </w:rPr>
        <w:t>图</w:t>
      </w:r>
      <w:r>
        <w:rPr>
          <w:b/>
          <w:sz w:val="24"/>
          <w:szCs w:val="24"/>
        </w:rPr>
        <w:t>2</w:t>
      </w:r>
      <w:r>
        <w:rPr>
          <w:rFonts w:hint="eastAsia"/>
          <w:b/>
          <w:sz w:val="24"/>
          <w:szCs w:val="24"/>
        </w:rPr>
        <w:t>：分类标准元素“报告起始日”及其属性</w:t>
      </w:r>
    </w:p>
    <w:p w:rsidR="00BA6D37" w:rsidRDefault="00314976">
      <w:pPr>
        <w:pStyle w:val="af4"/>
        <w:wordWrap/>
        <w:spacing w:after="0" w:line="560" w:lineRule="exact"/>
      </w:pPr>
      <w:r>
        <w:rPr>
          <w:rFonts w:hint="eastAsia"/>
        </w:rPr>
        <w:t>分类标准元素的部分重要属性如下：</w:t>
      </w:r>
    </w:p>
    <w:p w:rsidR="00BA6D37" w:rsidRDefault="00314976">
      <w:pPr>
        <w:pStyle w:val="af6"/>
        <w:wordWrap/>
        <w:spacing w:after="0" w:line="560" w:lineRule="exact"/>
        <w:rPr>
          <w:rFonts w:cs="Times New Roman"/>
        </w:rPr>
      </w:pPr>
      <w:r>
        <w:rPr>
          <w:rFonts w:cs="Times New Roman"/>
        </w:rPr>
        <w:fldChar w:fldCharType="begin"/>
      </w:r>
      <w:r>
        <w:rPr>
          <w:rFonts w:cs="Times New Roman"/>
        </w:rPr>
        <w:instrText xml:space="preserve"> = 1 \* GB3 </w:instrText>
      </w:r>
      <w:r>
        <w:rPr>
          <w:rFonts w:cs="Times New Roman"/>
        </w:rPr>
        <w:fldChar w:fldCharType="separate"/>
      </w:r>
      <w:r>
        <w:rPr>
          <w:rFonts w:ascii="宋体" w:eastAsia="宋体" w:hAnsi="宋体" w:cs="宋体" w:hint="eastAsia"/>
        </w:rPr>
        <w:t>①</w:t>
      </w:r>
      <w:r>
        <w:rPr>
          <w:rFonts w:cs="Times New Roman"/>
        </w:rPr>
        <w:fldChar w:fldCharType="end"/>
      </w:r>
      <w:r>
        <w:rPr>
          <w:rFonts w:cs="Times New Roman"/>
        </w:rPr>
        <w:t xml:space="preserve"> </w:t>
      </w:r>
      <w:r>
        <w:rPr>
          <w:rFonts w:cs="Times New Roman"/>
        </w:rPr>
        <w:t>元素名称（</w:t>
      </w:r>
      <w:r>
        <w:rPr>
          <w:rFonts w:cs="Times New Roman"/>
        </w:rPr>
        <w:t>element name</w:t>
      </w:r>
      <w:r>
        <w:rPr>
          <w:rFonts w:cs="Times New Roman"/>
        </w:rPr>
        <w:t>）</w:t>
      </w:r>
    </w:p>
    <w:p w:rsidR="00BA6D37" w:rsidRDefault="00314976">
      <w:pPr>
        <w:pStyle w:val="af4"/>
        <w:wordWrap/>
        <w:spacing w:after="0" w:line="560" w:lineRule="exact"/>
        <w:rPr>
          <w:rFonts w:cs="Times New Roman"/>
        </w:rPr>
      </w:pPr>
      <w:r>
        <w:rPr>
          <w:rFonts w:cs="Times New Roman"/>
        </w:rPr>
        <w:t>元素名称以元素的中文标签拼音为基础确定，遵循</w:t>
      </w:r>
      <w:r>
        <w:rPr>
          <w:rFonts w:cs="Times New Roman" w:hint="eastAsia"/>
        </w:rPr>
        <w:t>“</w:t>
      </w:r>
      <w:r>
        <w:rPr>
          <w:rFonts w:cs="Times New Roman"/>
        </w:rPr>
        <w:t>驼峰规则</w:t>
      </w:r>
      <w:r>
        <w:rPr>
          <w:rFonts w:cs="Times New Roman" w:hint="eastAsia"/>
        </w:rPr>
        <w:t>”</w:t>
      </w:r>
      <w:r>
        <w:rPr>
          <w:rFonts w:cs="Times New Roman"/>
        </w:rPr>
        <w:t>（</w:t>
      </w:r>
      <w:r>
        <w:rPr>
          <w:rFonts w:cs="Times New Roman"/>
        </w:rPr>
        <w:t>Camel Case</w:t>
      </w:r>
      <w:r>
        <w:rPr>
          <w:rFonts w:cs="Times New Roman"/>
        </w:rPr>
        <w:t>），以便计算机识别。例如，</w:t>
      </w:r>
      <w:r>
        <w:rPr>
          <w:rFonts w:cs="Times New Roman" w:hint="eastAsia"/>
        </w:rPr>
        <w:t>“</w:t>
      </w:r>
      <w:r>
        <w:rPr>
          <w:rFonts w:hint="eastAsia"/>
        </w:rPr>
        <w:t>报告起始日</w:t>
      </w:r>
      <w:r>
        <w:rPr>
          <w:rFonts w:cs="Times New Roman" w:hint="eastAsia"/>
        </w:rPr>
        <w:t>”</w:t>
      </w:r>
      <w:r>
        <w:rPr>
          <w:rFonts w:cs="Times New Roman"/>
        </w:rPr>
        <w:t>的中文标签拼音是</w:t>
      </w:r>
      <w:r>
        <w:rPr>
          <w:rFonts w:cs="Times New Roman"/>
        </w:rPr>
        <w:t>“bao gao qi shi ri”</w:t>
      </w:r>
      <w:r>
        <w:rPr>
          <w:rFonts w:cs="Times New Roman"/>
        </w:rPr>
        <w:t>，元素名称应该是</w:t>
      </w:r>
      <w:r>
        <w:rPr>
          <w:rFonts w:cs="Times New Roman"/>
        </w:rPr>
        <w:t>“BaoGaoQiShiRi”</w:t>
      </w:r>
      <w:r>
        <w:rPr>
          <w:rFonts w:cs="Times New Roman"/>
        </w:rPr>
        <w:t>。</w:t>
      </w:r>
    </w:p>
    <w:p w:rsidR="00BA6D37" w:rsidRDefault="00314976">
      <w:pPr>
        <w:pStyle w:val="af6"/>
        <w:wordWrap/>
        <w:spacing w:after="0" w:line="560" w:lineRule="exact"/>
      </w:pP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rPr>
          <w:rFonts w:hint="eastAsia"/>
        </w:rPr>
        <w:t xml:space="preserve"> </w:t>
      </w:r>
      <w:r>
        <w:rPr>
          <w:rFonts w:hint="eastAsia"/>
        </w:rPr>
        <w:t>元素</w:t>
      </w:r>
      <w:r>
        <w:rPr>
          <w:rFonts w:hint="eastAsia"/>
        </w:rPr>
        <w:t xml:space="preserve">ID </w:t>
      </w:r>
      <w:r>
        <w:rPr>
          <w:rFonts w:hint="eastAsia"/>
        </w:rPr>
        <w:t>（</w:t>
      </w:r>
      <w:r>
        <w:rPr>
          <w:rFonts w:hint="eastAsia"/>
        </w:rPr>
        <w:t>element ID</w:t>
      </w:r>
      <w:r>
        <w:rPr>
          <w:rFonts w:hint="eastAsia"/>
        </w:rPr>
        <w:t>）</w:t>
      </w:r>
    </w:p>
    <w:p w:rsidR="00BA6D37" w:rsidRDefault="00314976">
      <w:pPr>
        <w:pStyle w:val="af4"/>
        <w:wordWrap/>
        <w:spacing w:after="0" w:line="560" w:lineRule="exact"/>
      </w:pPr>
      <w:r>
        <w:rPr>
          <w:rFonts w:hint="eastAsia"/>
        </w:rPr>
        <w:t>元素</w:t>
      </w:r>
      <w:r>
        <w:rPr>
          <w:rFonts w:hint="eastAsia"/>
        </w:rPr>
        <w:t>ID</w:t>
      </w:r>
      <w:r>
        <w:rPr>
          <w:rFonts w:hint="eastAsia"/>
        </w:rPr>
        <w:t>是分类标准中所使用的每一个元素的唯一编号。元素</w:t>
      </w:r>
      <w:r>
        <w:rPr>
          <w:rFonts w:hint="eastAsia"/>
        </w:rPr>
        <w:t>ID</w:t>
      </w:r>
      <w:r>
        <w:rPr>
          <w:rFonts w:hint="eastAsia"/>
        </w:rPr>
        <w:t>的结构是：</w:t>
      </w:r>
      <w:r>
        <w:rPr>
          <w:rFonts w:hint="eastAsia"/>
        </w:rPr>
        <w:t>{</w:t>
      </w:r>
      <w:r>
        <w:rPr>
          <w:rFonts w:hint="eastAsia"/>
        </w:rPr>
        <w:t>分类标准的命名空间前缀</w:t>
      </w:r>
      <w:r>
        <w:rPr>
          <w:rFonts w:hint="eastAsia"/>
        </w:rPr>
        <w:t>_</w:t>
      </w:r>
      <w:r>
        <w:rPr>
          <w:rFonts w:hint="eastAsia"/>
        </w:rPr>
        <w:t>扩展元素名称</w:t>
      </w:r>
      <w:r>
        <w:rPr>
          <w:rFonts w:hint="eastAsia"/>
        </w:rPr>
        <w:t>}</w:t>
      </w:r>
      <w:r>
        <w:rPr>
          <w:rFonts w:hint="eastAsia"/>
        </w:rPr>
        <w:t>。</w:t>
      </w:r>
    </w:p>
    <w:p w:rsidR="00BA6D37" w:rsidRDefault="00314976">
      <w:pPr>
        <w:pStyle w:val="af6"/>
        <w:wordWrap/>
        <w:spacing w:after="0" w:line="560" w:lineRule="exact"/>
      </w:pPr>
      <w:r>
        <w:fldChar w:fldCharType="begin"/>
      </w:r>
      <w:r>
        <w:instrText xml:space="preserve"> </w:instrText>
      </w:r>
      <w:r>
        <w:rPr>
          <w:rFonts w:hint="eastAsia"/>
        </w:rPr>
        <w:instrText>= 3 \* GB3</w:instrText>
      </w:r>
      <w:r>
        <w:instrText xml:space="preserve"> </w:instrText>
      </w:r>
      <w:r>
        <w:fldChar w:fldCharType="separate"/>
      </w:r>
      <w:r>
        <w:rPr>
          <w:rFonts w:hint="eastAsia"/>
        </w:rPr>
        <w:t>③</w:t>
      </w:r>
      <w:r>
        <w:fldChar w:fldCharType="end"/>
      </w:r>
      <w:r>
        <w:rPr>
          <w:rFonts w:hint="eastAsia"/>
        </w:rPr>
        <w:t xml:space="preserve">  </w:t>
      </w:r>
      <w:r>
        <w:rPr>
          <w:rFonts w:hint="eastAsia"/>
        </w:rPr>
        <w:t>数据类型（</w:t>
      </w:r>
      <w:r>
        <w:rPr>
          <w:rFonts w:hint="eastAsia"/>
        </w:rPr>
        <w:t>type</w:t>
      </w:r>
      <w:r>
        <w:rPr>
          <w:rFonts w:hint="eastAsia"/>
        </w:rPr>
        <w:t>）</w:t>
      </w:r>
    </w:p>
    <w:p w:rsidR="00BA6D37" w:rsidRDefault="00314976">
      <w:pPr>
        <w:pStyle w:val="af4"/>
        <w:wordWrap/>
        <w:spacing w:after="0" w:line="560" w:lineRule="exact"/>
      </w:pPr>
      <w:r>
        <w:t>根据</w:t>
      </w:r>
      <w:r>
        <w:rPr>
          <w:rFonts w:hint="eastAsia"/>
        </w:rPr>
        <w:t>来源</w:t>
      </w:r>
      <w:r>
        <w:t>不同，</w:t>
      </w:r>
      <w:r>
        <w:rPr>
          <w:rFonts w:hint="eastAsia"/>
        </w:rPr>
        <w:t>分类标准</w:t>
      </w:r>
      <w:r>
        <w:t>的</w:t>
      </w:r>
      <w:r>
        <w:rPr>
          <w:rFonts w:hint="eastAsia"/>
        </w:rPr>
        <w:t>数据</w:t>
      </w:r>
      <w:r>
        <w:t>类型可以</w:t>
      </w:r>
      <w:r>
        <w:rPr>
          <w:rFonts w:hint="eastAsia"/>
        </w:rPr>
        <w:t>划分</w:t>
      </w:r>
      <w:r>
        <w:t>为标准数据类型和</w:t>
      </w:r>
      <w:r>
        <w:rPr>
          <w:rFonts w:hint="eastAsia"/>
        </w:rPr>
        <w:t>扩展</w:t>
      </w:r>
      <w:r>
        <w:t>数据类型</w:t>
      </w:r>
      <w:r>
        <w:rPr>
          <w:rFonts w:hint="eastAsia"/>
        </w:rPr>
        <w:t>。</w:t>
      </w:r>
      <w:r>
        <w:t>标准</w:t>
      </w:r>
      <w:r>
        <w:rPr>
          <w:rFonts w:hint="eastAsia"/>
        </w:rPr>
        <w:t>数据</w:t>
      </w:r>
      <w:r>
        <w:t>类型是指</w:t>
      </w:r>
      <w:r>
        <w:rPr>
          <w:rFonts w:hint="eastAsia"/>
        </w:rPr>
        <w:t>XBRL</w:t>
      </w:r>
      <w:r>
        <w:rPr>
          <w:rFonts w:hint="eastAsia"/>
        </w:rPr>
        <w:t>国际</w:t>
      </w:r>
      <w:r>
        <w:t>组织发布的、国际上通用的</w:t>
      </w:r>
      <w:r>
        <w:rPr>
          <w:rFonts w:hint="eastAsia"/>
        </w:rPr>
        <w:t>数据</w:t>
      </w:r>
      <w:r>
        <w:t>类型，</w:t>
      </w:r>
      <w:r>
        <w:rPr>
          <w:rFonts w:hint="eastAsia"/>
        </w:rPr>
        <w:t>分类标准共</w:t>
      </w:r>
      <w:r>
        <w:t>使用了</w:t>
      </w:r>
      <w:r>
        <w:t>9</w:t>
      </w:r>
      <w:r>
        <w:rPr>
          <w:rFonts w:hint="eastAsia"/>
        </w:rPr>
        <w:t>种</w:t>
      </w:r>
      <w:r>
        <w:t>标准数据类型</w:t>
      </w:r>
      <w:r>
        <w:rPr>
          <w:rFonts w:hint="eastAsia"/>
        </w:rPr>
        <w:t>。关于各种</w:t>
      </w:r>
      <w:r>
        <w:t>数据</w:t>
      </w:r>
      <w:r>
        <w:rPr>
          <w:rFonts w:hint="eastAsia"/>
        </w:rPr>
        <w:t>类型的统计情况如表</w:t>
      </w:r>
      <w:r>
        <w:rPr>
          <w:rFonts w:hint="eastAsia"/>
        </w:rPr>
        <w:t>2</w:t>
      </w:r>
      <w:r>
        <w:rPr>
          <w:rFonts w:hint="eastAsia"/>
        </w:rPr>
        <w:t>所示</w:t>
      </w:r>
      <w:r>
        <w:t>。</w:t>
      </w:r>
    </w:p>
    <w:p w:rsidR="00BA6D37" w:rsidRDefault="00314976">
      <w:pPr>
        <w:pStyle w:val="af4"/>
        <w:wordWrap/>
        <w:spacing w:after="0" w:line="560" w:lineRule="exact"/>
        <w:ind w:firstLineChars="0" w:firstLine="0"/>
        <w:jc w:val="center"/>
        <w:rPr>
          <w:b/>
          <w:sz w:val="24"/>
          <w:szCs w:val="24"/>
        </w:rPr>
      </w:pPr>
      <w:r>
        <w:rPr>
          <w:rFonts w:hint="eastAsia"/>
          <w:b/>
          <w:sz w:val="24"/>
          <w:szCs w:val="24"/>
        </w:rPr>
        <w:t>表</w:t>
      </w:r>
      <w:r>
        <w:rPr>
          <w:rFonts w:hint="eastAsia"/>
          <w:b/>
          <w:sz w:val="24"/>
          <w:szCs w:val="24"/>
        </w:rPr>
        <w:t>2</w:t>
      </w:r>
      <w:r>
        <w:rPr>
          <w:rFonts w:hint="eastAsia"/>
          <w:b/>
          <w:sz w:val="24"/>
          <w:szCs w:val="24"/>
        </w:rPr>
        <w:t>：分类标准使用的类型统计及举例</w:t>
      </w:r>
    </w:p>
    <w:tbl>
      <w:tblPr>
        <w:tblW w:w="5000" w:type="pct"/>
        <w:tblLayout w:type="fixed"/>
        <w:tblLook w:val="04A0" w:firstRow="1" w:lastRow="0" w:firstColumn="1" w:lastColumn="0" w:noHBand="0" w:noVBand="1"/>
      </w:tblPr>
      <w:tblGrid>
        <w:gridCol w:w="958"/>
        <w:gridCol w:w="1702"/>
        <w:gridCol w:w="2268"/>
        <w:gridCol w:w="855"/>
        <w:gridCol w:w="4180"/>
      </w:tblGrid>
      <w:tr w:rsidR="00BA6D37">
        <w:trPr>
          <w:trHeight w:val="300"/>
          <w:tblHeader/>
        </w:trPr>
        <w:tc>
          <w:tcPr>
            <w:tcW w:w="481" w:type="pct"/>
            <w:tcBorders>
              <w:top w:val="single" w:sz="8" w:space="0" w:color="000000"/>
              <w:left w:val="nil"/>
              <w:bottom w:val="single" w:sz="8" w:space="0" w:color="000000"/>
              <w:right w:val="single" w:sz="8" w:space="0" w:color="000000"/>
            </w:tcBorders>
            <w:vAlign w:val="center"/>
          </w:tcPr>
          <w:p w:rsidR="00BA6D37" w:rsidRDefault="00314976">
            <w:pPr>
              <w:spacing w:after="0" w:line="240" w:lineRule="auto"/>
              <w:jc w:val="center"/>
              <w:rPr>
                <w:rFonts w:ascii="仿宋_GB2312" w:eastAsia="仿宋_GB2312" w:hAnsi="MS PGothic" w:cs="宋体"/>
                <w:b/>
                <w:bCs/>
                <w:sz w:val="24"/>
                <w:szCs w:val="24"/>
              </w:rPr>
            </w:pPr>
            <w:r>
              <w:rPr>
                <w:rFonts w:ascii="仿宋_GB2312" w:eastAsia="仿宋_GB2312" w:hAnsi="MS PGothic" w:cs="宋体" w:hint="eastAsia"/>
                <w:b/>
                <w:bCs/>
                <w:sz w:val="24"/>
                <w:szCs w:val="24"/>
              </w:rPr>
              <w:t>来源</w:t>
            </w:r>
          </w:p>
        </w:tc>
        <w:tc>
          <w:tcPr>
            <w:tcW w:w="854" w:type="pct"/>
            <w:tcBorders>
              <w:top w:val="single" w:sz="8" w:space="0" w:color="000000"/>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仿宋_GB2312" w:eastAsia="仿宋_GB2312" w:hAnsi="MS PGothic" w:cs="宋体"/>
                <w:b/>
                <w:bCs/>
                <w:sz w:val="24"/>
                <w:szCs w:val="24"/>
              </w:rPr>
            </w:pPr>
            <w:r>
              <w:rPr>
                <w:rFonts w:ascii="仿宋_GB2312" w:eastAsia="仿宋_GB2312" w:hAnsi="MS PGothic" w:cs="宋体" w:hint="eastAsia"/>
                <w:b/>
                <w:bCs/>
                <w:sz w:val="24"/>
                <w:szCs w:val="24"/>
              </w:rPr>
              <w:t>数据类型</w:t>
            </w:r>
          </w:p>
        </w:tc>
        <w:tc>
          <w:tcPr>
            <w:tcW w:w="1138" w:type="pct"/>
            <w:tcBorders>
              <w:top w:val="single" w:sz="8" w:space="0" w:color="000000"/>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仿宋_GB2312" w:eastAsia="仿宋_GB2312" w:hAnsi="MS PGothic" w:cs="宋体"/>
                <w:b/>
                <w:bCs/>
                <w:sz w:val="24"/>
                <w:szCs w:val="24"/>
              </w:rPr>
            </w:pPr>
            <w:r>
              <w:rPr>
                <w:rFonts w:ascii="仿宋_GB2312" w:eastAsia="仿宋_GB2312" w:hAnsi="MS PGothic" w:cs="宋体" w:hint="eastAsia"/>
                <w:b/>
                <w:bCs/>
                <w:sz w:val="24"/>
                <w:szCs w:val="24"/>
              </w:rPr>
              <w:t>英文名称</w:t>
            </w:r>
          </w:p>
        </w:tc>
        <w:tc>
          <w:tcPr>
            <w:tcW w:w="429" w:type="pct"/>
            <w:tcBorders>
              <w:top w:val="single" w:sz="8" w:space="0" w:color="000000"/>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仿宋_GB2312" w:eastAsia="仿宋_GB2312" w:hAnsi="MS PGothic" w:cs="宋体"/>
                <w:b/>
                <w:bCs/>
                <w:sz w:val="24"/>
                <w:szCs w:val="24"/>
              </w:rPr>
            </w:pPr>
            <w:r>
              <w:rPr>
                <w:rFonts w:ascii="仿宋_GB2312" w:eastAsia="仿宋_GB2312" w:hAnsi="MS PGothic" w:cs="宋体" w:hint="eastAsia"/>
                <w:b/>
                <w:bCs/>
                <w:sz w:val="24"/>
                <w:szCs w:val="24"/>
              </w:rPr>
              <w:t>元素数量</w:t>
            </w:r>
          </w:p>
        </w:tc>
        <w:tc>
          <w:tcPr>
            <w:tcW w:w="2098" w:type="pct"/>
            <w:tcBorders>
              <w:top w:val="single" w:sz="8" w:space="0" w:color="000000"/>
              <w:left w:val="nil"/>
              <w:bottom w:val="single" w:sz="8" w:space="0" w:color="000000"/>
              <w:right w:val="nil"/>
            </w:tcBorders>
            <w:shd w:val="clear" w:color="auto" w:fill="auto"/>
            <w:noWrap/>
            <w:vAlign w:val="center"/>
          </w:tcPr>
          <w:p w:rsidR="00BA6D37" w:rsidRDefault="00314976">
            <w:pPr>
              <w:spacing w:after="0" w:line="240" w:lineRule="auto"/>
              <w:jc w:val="center"/>
              <w:rPr>
                <w:rFonts w:ascii="仿宋_GB2312" w:eastAsia="仿宋_GB2312" w:hAnsi="MS PGothic" w:cs="宋体"/>
                <w:b/>
                <w:bCs/>
                <w:sz w:val="24"/>
                <w:szCs w:val="24"/>
              </w:rPr>
            </w:pPr>
            <w:r>
              <w:rPr>
                <w:rFonts w:ascii="仿宋_GB2312" w:eastAsia="仿宋_GB2312" w:hAnsi="MS PGothic" w:cs="宋体" w:hint="eastAsia"/>
                <w:b/>
                <w:bCs/>
                <w:sz w:val="24"/>
                <w:szCs w:val="24"/>
              </w:rPr>
              <w:t>数据类型举例</w:t>
            </w:r>
          </w:p>
        </w:tc>
      </w:tr>
      <w:tr w:rsidR="00BA6D37">
        <w:trPr>
          <w:trHeight w:val="870"/>
        </w:trPr>
        <w:tc>
          <w:tcPr>
            <w:tcW w:w="481" w:type="pct"/>
            <w:vMerge w:val="restart"/>
            <w:tcBorders>
              <w:top w:val="nil"/>
              <w:left w:val="nil"/>
              <w:right w:val="single" w:sz="8" w:space="0" w:color="000000"/>
            </w:tcBorders>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标准数据</w:t>
            </w:r>
            <w:r>
              <w:rPr>
                <w:rFonts w:ascii="仿宋_GB2312" w:eastAsia="仿宋_GB2312" w:hAnsi="MS PGothic" w:cs="宋体"/>
                <w:sz w:val="24"/>
                <w:szCs w:val="24"/>
              </w:rPr>
              <w:t>类型</w:t>
            </w: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日期类型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xbrli:dateItemType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eastAsia="MS PGothic" w:hAnsi="Times New Roman" w:cs="Times New Roman"/>
                <w:sz w:val="24"/>
                <w:szCs w:val="24"/>
              </w:rPr>
            </w:pPr>
            <w:r>
              <w:rPr>
                <w:rFonts w:ascii="Times New Roman" w:eastAsia="MS PGothic" w:hAnsi="Times New Roman" w:cs="Times New Roman"/>
                <w:sz w:val="24"/>
                <w:szCs w:val="24"/>
              </w:rPr>
              <w:t>20</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报告起始日</w:t>
            </w:r>
          </w:p>
        </w:tc>
      </w:tr>
      <w:tr w:rsidR="00BA6D37">
        <w:trPr>
          <w:trHeight w:val="960"/>
        </w:trPr>
        <w:tc>
          <w:tcPr>
            <w:tcW w:w="481" w:type="pct"/>
            <w:vMerge/>
            <w:tcBorders>
              <w:left w:val="nil"/>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整数类型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xbrli:integerItemType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eastAsia="MS PGothic" w:hAnsi="Times New Roman" w:cs="Times New Roman"/>
                <w:sz w:val="24"/>
                <w:szCs w:val="24"/>
              </w:rPr>
            </w:pPr>
            <w:r>
              <w:rPr>
                <w:rFonts w:ascii="Times New Roman" w:eastAsia="MS PGothic" w:hAnsi="Times New Roman" w:cs="Times New Roman"/>
                <w:sz w:val="24"/>
                <w:szCs w:val="24"/>
              </w:rPr>
              <w:t>59</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持有违约债券只数</w:t>
            </w:r>
          </w:p>
        </w:tc>
      </w:tr>
      <w:tr w:rsidR="00BA6D37">
        <w:trPr>
          <w:trHeight w:val="960"/>
        </w:trPr>
        <w:tc>
          <w:tcPr>
            <w:tcW w:w="481" w:type="pct"/>
            <w:vMerge/>
            <w:tcBorders>
              <w:left w:val="nil"/>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百分比类型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num:percentItemType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eastAsia="MS PGothic" w:hAnsi="Times New Roman" w:cs="Times New Roman"/>
                <w:sz w:val="24"/>
                <w:szCs w:val="24"/>
              </w:rPr>
            </w:pPr>
            <w:r>
              <w:rPr>
                <w:rFonts w:ascii="Times New Roman" w:eastAsia="MS PGothic" w:hAnsi="Times New Roman" w:cs="Times New Roman"/>
                <w:sz w:val="24"/>
                <w:szCs w:val="24"/>
              </w:rPr>
              <w:t>57</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农、林、牧、渔业股票投资占基金资产净值比例</w:t>
            </w:r>
          </w:p>
        </w:tc>
      </w:tr>
      <w:tr w:rsidR="00BA6D37">
        <w:trPr>
          <w:trHeight w:val="960"/>
        </w:trPr>
        <w:tc>
          <w:tcPr>
            <w:tcW w:w="481" w:type="pct"/>
            <w:vMerge/>
            <w:tcBorders>
              <w:left w:val="nil"/>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货币类型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xbrli:monetaryItemType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eastAsia="MS PGothic" w:hAnsi="Times New Roman" w:cs="Times New Roman"/>
                <w:sz w:val="24"/>
                <w:szCs w:val="24"/>
              </w:rPr>
            </w:pPr>
            <w:r>
              <w:rPr>
                <w:rFonts w:ascii="Times New Roman" w:eastAsia="MS PGothic" w:hAnsi="Times New Roman" w:cs="Times New Roman"/>
                <w:sz w:val="24"/>
                <w:szCs w:val="24"/>
              </w:rPr>
              <w:t>721</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农、林、牧、渔业股票投资公允价值</w:t>
            </w:r>
          </w:p>
        </w:tc>
      </w:tr>
      <w:tr w:rsidR="00BA6D37">
        <w:trPr>
          <w:trHeight w:val="960"/>
        </w:trPr>
        <w:tc>
          <w:tcPr>
            <w:tcW w:w="481" w:type="pct"/>
            <w:vMerge/>
            <w:tcBorders>
              <w:left w:val="nil"/>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字符串类型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xbrli:stringItemType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eastAsia="MS PGothic" w:hAnsi="Times New Roman" w:cs="Times New Roman"/>
                <w:sz w:val="24"/>
                <w:szCs w:val="24"/>
              </w:rPr>
            </w:pPr>
            <w:r>
              <w:rPr>
                <w:rFonts w:ascii="Times New Roman" w:eastAsia="MS PGothic" w:hAnsi="Times New Roman" w:cs="Times New Roman"/>
                <w:sz w:val="24"/>
                <w:szCs w:val="24"/>
              </w:rPr>
              <w:t>334</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基金名称</w:t>
            </w:r>
          </w:p>
        </w:tc>
      </w:tr>
      <w:tr w:rsidR="00BA6D37">
        <w:trPr>
          <w:trHeight w:val="960"/>
        </w:trPr>
        <w:tc>
          <w:tcPr>
            <w:tcW w:w="481" w:type="pct"/>
            <w:vMerge/>
            <w:tcBorders>
              <w:left w:val="nil"/>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股份类型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xbrli:sharesItemType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eastAsia="MS PGothic" w:hAnsi="Times New Roman" w:cs="Times New Roman"/>
                <w:sz w:val="24"/>
                <w:szCs w:val="24"/>
              </w:rPr>
            </w:pPr>
            <w:r>
              <w:rPr>
                <w:rFonts w:ascii="Times New Roman" w:eastAsia="MS PGothic" w:hAnsi="Times New Roman" w:cs="Times New Roman"/>
                <w:sz w:val="24"/>
                <w:szCs w:val="24"/>
              </w:rPr>
              <w:t>10</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报告期基金份额总额</w:t>
            </w:r>
          </w:p>
        </w:tc>
      </w:tr>
      <w:tr w:rsidR="00BA6D37">
        <w:trPr>
          <w:trHeight w:val="1275"/>
        </w:trPr>
        <w:tc>
          <w:tcPr>
            <w:tcW w:w="481" w:type="pct"/>
            <w:vMerge/>
            <w:tcBorders>
              <w:left w:val="nil"/>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布尔类型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xbrli:booleanItemType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eastAsia="MS PGothic" w:hAnsi="Times New Roman" w:cs="Times New Roman"/>
                <w:sz w:val="24"/>
                <w:szCs w:val="24"/>
              </w:rPr>
            </w:pPr>
            <w:r>
              <w:rPr>
                <w:rFonts w:ascii="Times New Roman" w:eastAsia="MS PGothic" w:hAnsi="Times New Roman" w:cs="Times New Roman"/>
                <w:sz w:val="24"/>
                <w:szCs w:val="24"/>
              </w:rPr>
              <w:t>15</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上一年度审计报告中会计师事务所出具的是否是标准意见</w:t>
            </w:r>
          </w:p>
        </w:tc>
      </w:tr>
      <w:tr w:rsidR="00BA6D37">
        <w:trPr>
          <w:trHeight w:val="1275"/>
        </w:trPr>
        <w:tc>
          <w:tcPr>
            <w:tcW w:w="481" w:type="pct"/>
            <w:vMerge/>
            <w:tcBorders>
              <w:left w:val="nil"/>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年份类型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xbrli:gYearItemType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hAnsi="Times New Roman" w:cs="Times New Roman"/>
                <w:sz w:val="24"/>
                <w:szCs w:val="24"/>
              </w:rPr>
            </w:pPr>
            <w:r>
              <w:rPr>
                <w:rFonts w:ascii="Times New Roman" w:hAnsi="Times New Roman" w:cs="Times New Roman" w:hint="eastAsia"/>
                <w:sz w:val="24"/>
                <w:szCs w:val="24"/>
              </w:rPr>
              <w:t>1</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未确认递延所得税资产的可抵扣亏损到期日</w:t>
            </w:r>
          </w:p>
        </w:tc>
      </w:tr>
      <w:tr w:rsidR="00BA6D37">
        <w:trPr>
          <w:trHeight w:val="1275"/>
        </w:trPr>
        <w:tc>
          <w:tcPr>
            <w:tcW w:w="481" w:type="pct"/>
            <w:vMerge/>
            <w:tcBorders>
              <w:left w:val="nil"/>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854"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文本类型</w:t>
            </w:r>
          </w:p>
        </w:tc>
        <w:tc>
          <w:tcPr>
            <w:tcW w:w="1138"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both"/>
              <w:rPr>
                <w:rFonts w:ascii="Times New Roman" w:eastAsia="MS PGothic" w:hAnsi="Times New Roman" w:cs="Times New Roman"/>
                <w:sz w:val="24"/>
                <w:szCs w:val="24"/>
              </w:rPr>
            </w:pPr>
            <w:r>
              <w:rPr>
                <w:rFonts w:ascii="Times New Roman" w:eastAsia="MS PGothic" w:hAnsi="Times New Roman" w:cs="Times New Roman"/>
                <w:sz w:val="24"/>
                <w:szCs w:val="24"/>
              </w:rPr>
              <w:t>nonnum:textBlockItemType</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hAnsi="Times New Roman" w:cs="Times New Roman"/>
                <w:sz w:val="24"/>
                <w:szCs w:val="24"/>
              </w:rPr>
            </w:pPr>
            <w:r>
              <w:rPr>
                <w:rFonts w:ascii="Times New Roman" w:hAnsi="Times New Roman" w:cs="Times New Roman" w:hint="eastAsia"/>
                <w:sz w:val="24"/>
                <w:szCs w:val="24"/>
              </w:rPr>
              <w:t>3</w:t>
            </w:r>
          </w:p>
        </w:tc>
        <w:tc>
          <w:tcPr>
            <w:tcW w:w="2098" w:type="pct"/>
            <w:tcBorders>
              <w:top w:val="nil"/>
              <w:left w:val="nil"/>
              <w:bottom w:val="single" w:sz="8" w:space="0" w:color="000000"/>
              <w:right w:val="nil"/>
            </w:tcBorders>
            <w:shd w:val="clear" w:color="auto" w:fill="auto"/>
            <w:noWrap/>
            <w:vAlign w:val="center"/>
          </w:tcPr>
          <w:p w:rsidR="00BA6D37" w:rsidRDefault="00314976">
            <w:pPr>
              <w:spacing w:after="0" w:line="240" w:lineRule="auto"/>
              <w:jc w:val="both"/>
              <w:rPr>
                <w:rFonts w:ascii="仿宋_GB2312" w:eastAsia="仿宋_GB2312" w:hAnsi="MS PGothic" w:cs="宋体"/>
                <w:sz w:val="24"/>
                <w:szCs w:val="24"/>
              </w:rPr>
            </w:pPr>
            <w:r>
              <w:rPr>
                <w:rFonts w:ascii="仿宋_GB2312" w:eastAsia="仿宋_GB2312" w:hAnsi="MS PGothic" w:cs="宋体" w:hint="eastAsia"/>
                <w:sz w:val="24"/>
                <w:szCs w:val="24"/>
              </w:rPr>
              <w:t>经审计财务报告说明</w:t>
            </w:r>
          </w:p>
        </w:tc>
      </w:tr>
      <w:tr w:rsidR="00BA6D37">
        <w:trPr>
          <w:trHeight w:val="569"/>
        </w:trPr>
        <w:tc>
          <w:tcPr>
            <w:tcW w:w="481" w:type="pct"/>
            <w:vMerge/>
            <w:tcBorders>
              <w:left w:val="nil"/>
              <w:bottom w:val="single" w:sz="8" w:space="0" w:color="000000"/>
              <w:right w:val="single" w:sz="8" w:space="0" w:color="000000"/>
            </w:tcBorders>
          </w:tcPr>
          <w:p w:rsidR="00BA6D37" w:rsidRDefault="00BA6D37">
            <w:pPr>
              <w:spacing w:after="0" w:line="240" w:lineRule="auto"/>
              <w:jc w:val="both"/>
              <w:rPr>
                <w:rFonts w:ascii="仿宋_GB2312" w:eastAsia="仿宋_GB2312" w:hAnsi="MS PGothic" w:cs="宋体"/>
                <w:sz w:val="24"/>
                <w:szCs w:val="24"/>
              </w:rPr>
            </w:pPr>
          </w:p>
        </w:tc>
        <w:tc>
          <w:tcPr>
            <w:tcW w:w="1992" w:type="pct"/>
            <w:gridSpan w:val="2"/>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hAnsi="Times New Roman" w:cs="Times New Roman"/>
                <w:sz w:val="24"/>
                <w:szCs w:val="24"/>
              </w:rPr>
            </w:pPr>
            <w:r>
              <w:rPr>
                <w:rFonts w:ascii="仿宋_GB2312" w:eastAsia="仿宋_GB2312" w:hAnsi="MS PGothic" w:cs="宋体" w:hint="eastAsia"/>
                <w:sz w:val="24"/>
                <w:szCs w:val="24"/>
              </w:rPr>
              <w:t>小计</w:t>
            </w:r>
          </w:p>
        </w:tc>
        <w:tc>
          <w:tcPr>
            <w:tcW w:w="429" w:type="pct"/>
            <w:tcBorders>
              <w:top w:val="nil"/>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1219</w:t>
            </w:r>
          </w:p>
        </w:tc>
        <w:tc>
          <w:tcPr>
            <w:tcW w:w="2098" w:type="pct"/>
            <w:tcBorders>
              <w:top w:val="nil"/>
              <w:left w:val="nil"/>
              <w:bottom w:val="single" w:sz="8" w:space="0" w:color="000000"/>
              <w:right w:val="nil"/>
            </w:tcBorders>
            <w:shd w:val="clear" w:color="auto" w:fill="auto"/>
            <w:noWrap/>
            <w:vAlign w:val="center"/>
          </w:tcPr>
          <w:p w:rsidR="00BA6D37" w:rsidRDefault="00BA6D37">
            <w:pPr>
              <w:spacing w:after="0" w:line="240" w:lineRule="auto"/>
              <w:jc w:val="both"/>
              <w:rPr>
                <w:rFonts w:ascii="仿宋_GB2312" w:eastAsia="仿宋_GB2312" w:hAnsi="MS PGothic" w:cs="宋体"/>
                <w:sz w:val="24"/>
                <w:szCs w:val="24"/>
              </w:rPr>
            </w:pPr>
          </w:p>
        </w:tc>
      </w:tr>
      <w:tr w:rsidR="00BA6D37">
        <w:trPr>
          <w:trHeight w:val="645"/>
        </w:trPr>
        <w:tc>
          <w:tcPr>
            <w:tcW w:w="2473" w:type="pct"/>
            <w:gridSpan w:val="3"/>
            <w:tcBorders>
              <w:top w:val="single" w:sz="8" w:space="0" w:color="000000"/>
              <w:left w:val="nil"/>
              <w:bottom w:val="single" w:sz="8" w:space="0" w:color="000000"/>
              <w:right w:val="single" w:sz="8" w:space="0" w:color="000000"/>
            </w:tcBorders>
            <w:vAlign w:val="center"/>
          </w:tcPr>
          <w:p w:rsidR="00BA6D37" w:rsidRDefault="00314976">
            <w:pPr>
              <w:spacing w:after="0" w:line="240" w:lineRule="auto"/>
              <w:jc w:val="center"/>
              <w:rPr>
                <w:rFonts w:ascii="仿宋_GB2312" w:eastAsia="仿宋_GB2312" w:hAnsi="MS PGothic" w:cs="宋体"/>
                <w:sz w:val="24"/>
                <w:szCs w:val="24"/>
              </w:rPr>
            </w:pPr>
            <w:r>
              <w:rPr>
                <w:rFonts w:ascii="仿宋_GB2312" w:eastAsia="仿宋_GB2312" w:hAnsi="MS PGothic" w:cs="宋体" w:hint="eastAsia"/>
                <w:sz w:val="24"/>
                <w:szCs w:val="24"/>
              </w:rPr>
              <w:t>合计</w:t>
            </w:r>
          </w:p>
        </w:tc>
        <w:tc>
          <w:tcPr>
            <w:tcW w:w="429" w:type="pct"/>
            <w:tcBorders>
              <w:top w:val="single" w:sz="8" w:space="0" w:color="000000"/>
              <w:left w:val="nil"/>
              <w:bottom w:val="single" w:sz="8" w:space="0" w:color="000000"/>
              <w:right w:val="single" w:sz="8" w:space="0" w:color="000000"/>
            </w:tcBorders>
            <w:shd w:val="clear" w:color="auto" w:fill="auto"/>
            <w:noWrap/>
            <w:vAlign w:val="center"/>
          </w:tcPr>
          <w:p w:rsidR="00BA6D37" w:rsidRDefault="00314976">
            <w:pPr>
              <w:spacing w:after="0" w:line="240" w:lineRule="auto"/>
              <w:jc w:val="center"/>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219</w:t>
            </w:r>
          </w:p>
        </w:tc>
        <w:tc>
          <w:tcPr>
            <w:tcW w:w="2098" w:type="pct"/>
            <w:tcBorders>
              <w:top w:val="single" w:sz="8" w:space="0" w:color="000000"/>
              <w:left w:val="nil"/>
              <w:bottom w:val="single" w:sz="8" w:space="0" w:color="000000"/>
              <w:right w:val="nil"/>
            </w:tcBorders>
            <w:shd w:val="clear" w:color="auto" w:fill="auto"/>
            <w:noWrap/>
            <w:vAlign w:val="center"/>
          </w:tcPr>
          <w:p w:rsidR="00BA6D37" w:rsidRDefault="00BA6D37">
            <w:pPr>
              <w:spacing w:after="0" w:line="240" w:lineRule="auto"/>
              <w:jc w:val="both"/>
              <w:rPr>
                <w:rFonts w:ascii="仿宋_GB2312" w:eastAsia="仿宋_GB2312" w:hAnsi="MS PGothic" w:cs="宋体"/>
                <w:sz w:val="24"/>
                <w:szCs w:val="24"/>
              </w:rPr>
            </w:pPr>
          </w:p>
        </w:tc>
      </w:tr>
    </w:tbl>
    <w:p w:rsidR="00BA6D37" w:rsidRDefault="00314976">
      <w:pPr>
        <w:pStyle w:val="af5"/>
        <w:wordWrap/>
        <w:spacing w:before="120" w:after="0" w:line="560" w:lineRule="exact"/>
      </w:pPr>
      <w:r>
        <w:rPr>
          <w:rFonts w:hint="eastAsia"/>
        </w:rPr>
        <w:t>需要特别说明的是，本版分类</w:t>
      </w:r>
      <w:r>
        <w:t>标准</w:t>
      </w:r>
      <w:r>
        <w:rPr>
          <w:rFonts w:hint="eastAsia"/>
        </w:rPr>
        <w:t>中分级基金级别</w:t>
      </w:r>
      <w:r>
        <w:t>的</w:t>
      </w:r>
      <w:r>
        <w:rPr>
          <w:rFonts w:hint="eastAsia"/>
        </w:rPr>
        <w:t>设置是为了配合私募基金不同级别的数据披露，目前在私募基金信息披露系统报告中需要对基金不同级别的部分数据进行披露，通过分级基金级别的数据类型来分别披露相关数据。</w:t>
      </w:r>
    </w:p>
    <w:p w:rsidR="00BA6D37" w:rsidRDefault="00314976">
      <w:pPr>
        <w:pStyle w:val="af5"/>
        <w:wordWrap/>
        <w:spacing w:after="0" w:line="560" w:lineRule="exact"/>
      </w:pPr>
      <w:r>
        <w:rPr>
          <w:rFonts w:hint="eastAsia"/>
        </w:rPr>
        <w:t>具体的数据类型如下表所示：</w:t>
      </w:r>
    </w:p>
    <w:p w:rsidR="00BA6D37" w:rsidRDefault="00314976">
      <w:pPr>
        <w:pStyle w:val="af5"/>
        <w:wordWrap/>
        <w:spacing w:after="0" w:line="560" w:lineRule="exact"/>
        <w:ind w:firstLine="482"/>
        <w:jc w:val="center"/>
        <w:rPr>
          <w:b/>
          <w:sz w:val="24"/>
          <w:szCs w:val="24"/>
        </w:rPr>
      </w:pPr>
      <w:r>
        <w:rPr>
          <w:rFonts w:hint="eastAsia"/>
          <w:b/>
          <w:sz w:val="24"/>
          <w:szCs w:val="24"/>
        </w:rPr>
        <w:t>表</w:t>
      </w:r>
      <w:r>
        <w:rPr>
          <w:rFonts w:hint="eastAsia"/>
          <w:b/>
          <w:sz w:val="24"/>
          <w:szCs w:val="24"/>
        </w:rPr>
        <w:t>3</w:t>
      </w:r>
      <w:r>
        <w:rPr>
          <w:rFonts w:hint="eastAsia"/>
          <w:b/>
          <w:sz w:val="24"/>
          <w:szCs w:val="24"/>
        </w:rPr>
        <w:t>：分级基金级别应用情形一</w:t>
      </w:r>
      <w:r>
        <w:rPr>
          <w:b/>
          <w:sz w:val="24"/>
          <w:szCs w:val="24"/>
        </w:rPr>
        <w:t>举例</w:t>
      </w:r>
    </w:p>
    <w:tbl>
      <w:tblPr>
        <w:tblW w:w="0" w:type="auto"/>
        <w:tblInd w:w="108" w:type="dxa"/>
        <w:tblLayout w:type="fixed"/>
        <w:tblLook w:val="04A0" w:firstRow="1" w:lastRow="0" w:firstColumn="1" w:lastColumn="0" w:noHBand="0" w:noVBand="1"/>
      </w:tblPr>
      <w:tblGrid>
        <w:gridCol w:w="3119"/>
        <w:gridCol w:w="2268"/>
        <w:gridCol w:w="4111"/>
      </w:tblGrid>
      <w:tr w:rsidR="00BA6D37">
        <w:trPr>
          <w:trHeight w:val="609"/>
        </w:trPr>
        <w:tc>
          <w:tcPr>
            <w:tcW w:w="3119" w:type="dxa"/>
            <w:tcBorders>
              <w:top w:val="single" w:sz="4" w:space="0" w:color="auto"/>
              <w:left w:val="nil"/>
              <w:bottom w:val="single" w:sz="4" w:space="0" w:color="auto"/>
              <w:right w:val="single" w:sz="4" w:space="0" w:color="auto"/>
            </w:tcBorders>
            <w:shd w:val="clear" w:color="auto" w:fill="auto"/>
            <w:noWrap/>
            <w:vAlign w:val="center"/>
          </w:tcPr>
          <w:p w:rsidR="00BA6D37" w:rsidRDefault="00314976">
            <w:pPr>
              <w:spacing w:after="0" w:line="240" w:lineRule="auto"/>
              <w:jc w:val="center"/>
              <w:rPr>
                <w:rFonts w:ascii="Times New Roman" w:eastAsia="仿宋_GB2312" w:hAnsi="Times New Roman" w:cs="宋体"/>
                <w:b/>
                <w:sz w:val="24"/>
                <w:szCs w:val="24"/>
              </w:rPr>
            </w:pPr>
            <w:r>
              <w:rPr>
                <w:rFonts w:ascii="Times New Roman" w:eastAsia="仿宋_GB2312" w:hAnsi="Times New Roman" w:cs="宋体" w:hint="eastAsia"/>
                <w:b/>
                <w:sz w:val="24"/>
                <w:szCs w:val="24"/>
              </w:rPr>
              <w:t>数据</w:t>
            </w:r>
            <w:r>
              <w:rPr>
                <w:rFonts w:ascii="Times New Roman" w:eastAsia="仿宋_GB2312" w:hAnsi="Times New Roman" w:cs="宋体"/>
                <w:b/>
                <w:sz w:val="24"/>
                <w:szCs w:val="24"/>
              </w:rPr>
              <w:t>类型</w:t>
            </w:r>
            <w:r>
              <w:rPr>
                <w:rFonts w:ascii="Times New Roman" w:eastAsia="仿宋_GB2312" w:hAnsi="Times New Roman" w:cs="宋体" w:hint="eastAsia"/>
                <w:b/>
                <w:sz w:val="24"/>
                <w:szCs w:val="24"/>
              </w:rPr>
              <w:t>英文名称</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BA6D37" w:rsidRDefault="00314976">
            <w:pPr>
              <w:spacing w:after="0" w:line="240" w:lineRule="auto"/>
              <w:jc w:val="center"/>
              <w:rPr>
                <w:rFonts w:ascii="Times New Roman" w:eastAsia="仿宋_GB2312" w:hAnsi="Times New Roman" w:cs="宋体"/>
                <w:b/>
                <w:sz w:val="24"/>
                <w:szCs w:val="24"/>
              </w:rPr>
            </w:pPr>
            <w:r>
              <w:rPr>
                <w:rFonts w:ascii="Times New Roman" w:eastAsia="仿宋_GB2312" w:hAnsi="Times New Roman" w:cs="宋体" w:hint="eastAsia"/>
                <w:b/>
                <w:sz w:val="24"/>
                <w:szCs w:val="24"/>
              </w:rPr>
              <w:t>数据类型中文名称</w:t>
            </w:r>
          </w:p>
        </w:tc>
        <w:tc>
          <w:tcPr>
            <w:tcW w:w="4111" w:type="dxa"/>
            <w:tcBorders>
              <w:top w:val="single" w:sz="4" w:space="0" w:color="auto"/>
              <w:left w:val="nil"/>
              <w:bottom w:val="single" w:sz="4" w:space="0" w:color="auto"/>
              <w:right w:val="nil"/>
            </w:tcBorders>
            <w:shd w:val="clear" w:color="auto" w:fill="auto"/>
            <w:noWrap/>
            <w:vAlign w:val="center"/>
          </w:tcPr>
          <w:p w:rsidR="00BA6D37" w:rsidRDefault="00314976">
            <w:pPr>
              <w:spacing w:after="0" w:line="240" w:lineRule="auto"/>
              <w:jc w:val="center"/>
              <w:rPr>
                <w:rFonts w:ascii="Times New Roman" w:eastAsia="仿宋_GB2312" w:hAnsi="Times New Roman" w:cs="宋体"/>
                <w:b/>
                <w:sz w:val="24"/>
                <w:szCs w:val="24"/>
              </w:rPr>
            </w:pPr>
            <w:r>
              <w:rPr>
                <w:rFonts w:ascii="Times New Roman" w:eastAsia="仿宋_GB2312" w:hAnsi="Times New Roman" w:cs="宋体" w:hint="eastAsia"/>
                <w:b/>
                <w:sz w:val="24"/>
                <w:szCs w:val="24"/>
              </w:rPr>
              <w:t>分级基金级别名称</w:t>
            </w:r>
          </w:p>
        </w:tc>
      </w:tr>
      <w:tr w:rsidR="00BA6D37">
        <w:trPr>
          <w:trHeight w:val="346"/>
        </w:trPr>
        <w:tc>
          <w:tcPr>
            <w:tcW w:w="3119" w:type="dxa"/>
            <w:tcBorders>
              <w:top w:val="nil"/>
              <w:left w:val="nil"/>
              <w:bottom w:val="single" w:sz="4" w:space="0" w:color="auto"/>
              <w:right w:val="single" w:sz="4" w:space="0" w:color="auto"/>
            </w:tcBorders>
            <w:shd w:val="clear" w:color="auto" w:fill="auto"/>
            <w:noWrap/>
            <w:vAlign w:val="center"/>
          </w:tcPr>
          <w:p w:rsidR="00BA6D37" w:rsidRDefault="00314976">
            <w:pPr>
              <w:spacing w:after="0" w:line="240" w:lineRule="auto"/>
              <w:rPr>
                <w:rFonts w:ascii="Times New Roman" w:eastAsia="仿宋_GB2312" w:hAnsi="Times New Roman" w:cs="宋体"/>
                <w:sz w:val="24"/>
                <w:szCs w:val="24"/>
              </w:rPr>
            </w:pPr>
            <w:r>
              <w:rPr>
                <w:rFonts w:ascii="Times New Roman" w:eastAsia="仿宋_GB2312" w:hAnsi="Times New Roman" w:cs="Times New Roman"/>
                <w:sz w:val="24"/>
              </w:rPr>
              <w:t>amac</w:t>
            </w:r>
            <w:r>
              <w:rPr>
                <w:rFonts w:ascii="Times New Roman" w:eastAsia="仿宋_GB2312" w:hAnsi="Times New Roman" w:cs="Times New Roman" w:hint="eastAsia"/>
                <w:sz w:val="24"/>
              </w:rPr>
              <w:t>:</w:t>
            </w:r>
            <w:r>
              <w:rPr>
                <w:rFonts w:ascii="Times New Roman" w:eastAsia="仿宋_GB2312" w:hAnsi="Times New Roman" w:cs="Times New Roman"/>
                <w:sz w:val="24"/>
              </w:rPr>
              <w:t>FenJiJiJinJiBie</w:t>
            </w:r>
          </w:p>
        </w:tc>
        <w:tc>
          <w:tcPr>
            <w:tcW w:w="2268" w:type="dxa"/>
            <w:tcBorders>
              <w:top w:val="nil"/>
              <w:left w:val="nil"/>
              <w:bottom w:val="single" w:sz="4" w:space="0" w:color="auto"/>
              <w:right w:val="single" w:sz="4" w:space="0" w:color="auto"/>
            </w:tcBorders>
            <w:shd w:val="clear" w:color="auto" w:fill="auto"/>
            <w:vAlign w:val="center"/>
          </w:tcPr>
          <w:p w:rsidR="00BA6D37" w:rsidRDefault="00247962">
            <w:pPr>
              <w:spacing w:after="0" w:line="240" w:lineRule="auto"/>
              <w:jc w:val="center"/>
              <w:rPr>
                <w:rFonts w:ascii="Times New Roman" w:eastAsia="仿宋_GB2312" w:hAnsi="Times New Roman"/>
                <w:sz w:val="24"/>
              </w:rPr>
            </w:pPr>
            <w:r>
              <w:rPr>
                <w:rFonts w:ascii="Times New Roman" w:eastAsia="仿宋_GB2312" w:hAnsi="Times New Roman"/>
                <w:sz w:val="24"/>
              </w:rPr>
              <w:t>分级基金级别</w:t>
            </w:r>
          </w:p>
        </w:tc>
        <w:tc>
          <w:tcPr>
            <w:tcW w:w="4111" w:type="dxa"/>
            <w:tcBorders>
              <w:top w:val="nil"/>
              <w:left w:val="nil"/>
              <w:bottom w:val="single" w:sz="4" w:space="0" w:color="auto"/>
              <w:right w:val="nil"/>
            </w:tcBorders>
            <w:shd w:val="clear" w:color="auto" w:fill="auto"/>
            <w:vAlign w:val="center"/>
          </w:tcPr>
          <w:p w:rsidR="00BA6D37" w:rsidRDefault="00314976">
            <w:pPr>
              <w:spacing w:after="0" w:line="240" w:lineRule="auto"/>
              <w:jc w:val="both"/>
              <w:rPr>
                <w:rFonts w:ascii="Times New Roman" w:eastAsia="仿宋_GB2312" w:hAnsi="Times New Roman" w:cs="宋体"/>
                <w:sz w:val="24"/>
                <w:szCs w:val="24"/>
              </w:rPr>
            </w:pPr>
            <w:r>
              <w:rPr>
                <w:rFonts w:ascii="Times New Roman" w:eastAsia="仿宋_GB2312" w:hAnsi="Times New Roman" w:cs="Times New Roman"/>
                <w:sz w:val="24"/>
                <w:szCs w:val="24"/>
              </w:rPr>
              <w:t>1|</w:t>
            </w:r>
            <w:r>
              <w:rPr>
                <w:rFonts w:ascii="Times New Roman" w:eastAsia="仿宋_GB2312" w:hAnsi="Times New Roman" w:cs="宋体" w:hint="eastAsia"/>
                <w:sz w:val="24"/>
                <w:szCs w:val="24"/>
              </w:rPr>
              <w:t>优先级</w:t>
            </w:r>
          </w:p>
          <w:p w:rsidR="00BA6D37" w:rsidRDefault="00314976">
            <w:pPr>
              <w:spacing w:after="0" w:line="240" w:lineRule="auto"/>
              <w:jc w:val="both"/>
              <w:rPr>
                <w:rFonts w:ascii="Times New Roman" w:eastAsia="仿宋_GB2312" w:hAnsi="Times New Roman" w:cs="宋体"/>
                <w:sz w:val="24"/>
                <w:szCs w:val="24"/>
              </w:rPr>
            </w:pPr>
            <w:r>
              <w:rPr>
                <w:rFonts w:ascii="Times New Roman" w:eastAsia="仿宋_GB2312" w:hAnsi="Times New Roman" w:cs="Times New Roman"/>
                <w:sz w:val="24"/>
                <w:szCs w:val="24"/>
              </w:rPr>
              <w:t>2|</w:t>
            </w:r>
            <w:r>
              <w:rPr>
                <w:rFonts w:ascii="Times New Roman" w:eastAsia="仿宋_GB2312" w:hAnsi="Times New Roman" w:cs="宋体" w:hint="eastAsia"/>
                <w:sz w:val="24"/>
                <w:szCs w:val="24"/>
              </w:rPr>
              <w:t>劣后级</w:t>
            </w:r>
          </w:p>
          <w:p w:rsidR="00BA6D37" w:rsidRDefault="00314976">
            <w:pPr>
              <w:spacing w:after="0" w:line="240" w:lineRule="auto"/>
              <w:jc w:val="both"/>
              <w:rPr>
                <w:rFonts w:ascii="Times New Roman" w:eastAsia="仿宋_GB2312" w:hAnsi="Times New Roman" w:cs="Arial Unicode MS"/>
                <w:sz w:val="24"/>
                <w:szCs w:val="20"/>
              </w:rPr>
            </w:pPr>
            <w:r>
              <w:rPr>
                <w:rFonts w:ascii="Times New Roman" w:eastAsia="仿宋_GB2312" w:hAnsi="Times New Roman" w:cs="Times New Roman"/>
                <w:sz w:val="24"/>
                <w:szCs w:val="24"/>
              </w:rPr>
              <w:t>3|</w:t>
            </w:r>
            <w:r>
              <w:rPr>
                <w:rFonts w:ascii="Times New Roman" w:eastAsia="仿宋_GB2312" w:hAnsi="Times New Roman" w:cs="宋体" w:hint="eastAsia"/>
                <w:sz w:val="24"/>
                <w:szCs w:val="24"/>
              </w:rPr>
              <w:t>自定义级别</w:t>
            </w:r>
          </w:p>
        </w:tc>
      </w:tr>
    </w:tbl>
    <w:p w:rsidR="00BA6D37" w:rsidRDefault="00314976">
      <w:pPr>
        <w:pStyle w:val="af5"/>
        <w:wordWrap/>
        <w:spacing w:after="0" w:line="560" w:lineRule="exact"/>
      </w:pPr>
      <w:r>
        <w:rPr>
          <w:rFonts w:hint="eastAsia"/>
        </w:rPr>
        <w:lastRenderedPageBreak/>
        <w:t>分级基金级别名称可自行定义名称，上表仅为举例。</w:t>
      </w:r>
    </w:p>
    <w:p w:rsidR="00BA6D37" w:rsidRDefault="00314976">
      <w:pPr>
        <w:pStyle w:val="af5"/>
        <w:wordWrap/>
        <w:spacing w:after="0" w:line="560" w:lineRule="exact"/>
      </w:pPr>
      <w:r>
        <w:fldChar w:fldCharType="begin"/>
      </w:r>
      <w:r>
        <w:instrText xml:space="preserve"> </w:instrText>
      </w:r>
      <w:r>
        <w:rPr>
          <w:rFonts w:hint="eastAsia"/>
        </w:rPr>
        <w:instrText>= 4 \* GB3</w:instrText>
      </w:r>
      <w:r>
        <w:instrText xml:space="preserve"> </w:instrText>
      </w:r>
      <w:r>
        <w:fldChar w:fldCharType="separate"/>
      </w:r>
      <w:r>
        <w:rPr>
          <w:rFonts w:hint="eastAsia"/>
        </w:rPr>
        <w:t>④</w:t>
      </w:r>
      <w:r>
        <w:fldChar w:fldCharType="end"/>
      </w:r>
      <w:r>
        <w:rPr>
          <w:rFonts w:hint="eastAsia"/>
        </w:rPr>
        <w:t>时期类型（</w:t>
      </w:r>
      <w:r>
        <w:rPr>
          <w:rFonts w:hint="eastAsia"/>
        </w:rPr>
        <w:t>period type</w:t>
      </w:r>
      <w:r>
        <w:rPr>
          <w:rFonts w:hint="eastAsia"/>
        </w:rPr>
        <w:t>）</w:t>
      </w:r>
    </w:p>
    <w:p w:rsidR="00BA6D37" w:rsidRDefault="00314976">
      <w:pPr>
        <w:pStyle w:val="af4"/>
        <w:wordWrap/>
        <w:spacing w:after="0" w:line="560" w:lineRule="exact"/>
      </w:pPr>
      <w:r>
        <w:rPr>
          <w:rFonts w:hint="eastAsia"/>
        </w:rPr>
        <w:t>如果元素用于表达存量概念，时期类型应设为“</w:t>
      </w:r>
      <w:r>
        <w:rPr>
          <w:rFonts w:hint="eastAsia"/>
        </w:rPr>
        <w:t>instant</w:t>
      </w:r>
      <w:r>
        <w:rPr>
          <w:rFonts w:hint="eastAsia"/>
        </w:rPr>
        <w:t>”（时点）；如用于表达流量概念，时期类型应设为“</w:t>
      </w:r>
      <w:r>
        <w:rPr>
          <w:rFonts w:hint="eastAsia"/>
        </w:rPr>
        <w:t>duration</w:t>
      </w:r>
      <w:r>
        <w:rPr>
          <w:rFonts w:hint="eastAsia"/>
        </w:rPr>
        <w:t>”（期间）。当元素的时期类型不明确时，统一设为“</w:t>
      </w:r>
      <w:r>
        <w:t>instant</w:t>
      </w:r>
      <w:r>
        <w:rPr>
          <w:rFonts w:hint="eastAsia"/>
        </w:rPr>
        <w:t>”。抽象（</w:t>
      </w:r>
      <w:r>
        <w:rPr>
          <w:rFonts w:hint="eastAsia"/>
        </w:rPr>
        <w:t>abstract</w:t>
      </w:r>
      <w:r>
        <w:rPr>
          <w:rFonts w:hint="eastAsia"/>
        </w:rPr>
        <w:t>）元素的时期类型未统一定义。</w:t>
      </w:r>
    </w:p>
    <w:p w:rsidR="00BA6D37" w:rsidRDefault="00314976">
      <w:pPr>
        <w:pStyle w:val="af5"/>
        <w:wordWrap/>
        <w:spacing w:after="0" w:line="560" w:lineRule="exact"/>
      </w:pPr>
      <w:r>
        <w:rPr>
          <w:rFonts w:hint="eastAsia"/>
        </w:rPr>
        <w:t>（</w:t>
      </w:r>
      <w:r>
        <w:rPr>
          <w:rFonts w:hint="eastAsia"/>
        </w:rPr>
        <w:t>2</w:t>
      </w:r>
      <w:r>
        <w:rPr>
          <w:rFonts w:hint="eastAsia"/>
        </w:rPr>
        <w:t>）元素标签及后缀</w:t>
      </w:r>
    </w:p>
    <w:p w:rsidR="00BA6D37" w:rsidRDefault="00314976">
      <w:pPr>
        <w:pStyle w:val="af4"/>
        <w:wordWrap/>
        <w:spacing w:after="0" w:line="560" w:lineRule="exact"/>
      </w:pPr>
      <w:r>
        <w:rPr>
          <w:rFonts w:hint="eastAsia"/>
        </w:rPr>
        <w:t>在分类标准中，同一个元素可有多个标签，其中至少有一个中文标准标签。一些特定元素的标准标签还必须增加标准后缀，例如</w:t>
      </w:r>
      <w:r>
        <w:t>，</w:t>
      </w:r>
      <w:r>
        <w:rPr>
          <w:rFonts w:hint="eastAsia"/>
        </w:rPr>
        <w:t>所有抽象（</w:t>
      </w:r>
      <w:r>
        <w:rPr>
          <w:rFonts w:hint="eastAsia"/>
        </w:rPr>
        <w:t>abstract</w:t>
      </w:r>
      <w:r>
        <w:rPr>
          <w:rFonts w:hint="eastAsia"/>
        </w:rPr>
        <w:t>）元素的标准标签后缀为</w:t>
      </w:r>
      <w:r>
        <w:rPr>
          <w:rFonts w:hint="eastAsia"/>
        </w:rPr>
        <w:t>[abstract]</w:t>
      </w:r>
      <w:r>
        <w:rPr>
          <w:rFonts w:hint="eastAsia"/>
        </w:rPr>
        <w:t>，所有元组（</w:t>
      </w:r>
      <w:r>
        <w:rPr>
          <w:rFonts w:hint="eastAsia"/>
        </w:rPr>
        <w:t>tuple</w:t>
      </w:r>
      <w:r>
        <w:rPr>
          <w:rFonts w:hint="eastAsia"/>
        </w:rPr>
        <w:t>）元素的标准标签后缀为</w:t>
      </w:r>
      <w:r>
        <w:rPr>
          <w:rFonts w:hint="eastAsia"/>
        </w:rPr>
        <w:t>[</w:t>
      </w:r>
      <w:r>
        <w:t>tuple]</w:t>
      </w:r>
      <w:r>
        <w:rPr>
          <w:rFonts w:hint="eastAsia"/>
        </w:rPr>
        <w:t>。</w:t>
      </w:r>
    </w:p>
    <w:p w:rsidR="00BA6D37" w:rsidRDefault="00314976">
      <w:pPr>
        <w:pStyle w:val="af3"/>
        <w:wordWrap/>
        <w:spacing w:after="0" w:line="560" w:lineRule="exact"/>
      </w:pPr>
      <w:r>
        <w:rPr>
          <w:rFonts w:cs="Times New Roman"/>
        </w:rPr>
        <w:t>2</w:t>
      </w:r>
      <w:r>
        <w:rPr>
          <w:rFonts w:cs="Times New Roman" w:hint="eastAsia"/>
        </w:rPr>
        <w:t>．</w:t>
      </w:r>
      <w:r>
        <w:rPr>
          <w:rFonts w:hint="eastAsia"/>
        </w:rPr>
        <w:t>元素</w:t>
      </w:r>
      <w:r>
        <w:t>列报层级关系</w:t>
      </w:r>
    </w:p>
    <w:p w:rsidR="00BA6D37" w:rsidRDefault="00314976">
      <w:pPr>
        <w:spacing w:line="56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综合</w:t>
      </w:r>
      <w:r>
        <w:rPr>
          <w:rFonts w:ascii="Times New Roman" w:eastAsia="仿宋_GB2312" w:hAnsi="Times New Roman" w:cs="Times New Roman"/>
          <w:sz w:val="28"/>
          <w:szCs w:val="28"/>
        </w:rPr>
        <w:t>考虑财务报告中的各项</w:t>
      </w:r>
      <w:r>
        <w:rPr>
          <w:rFonts w:ascii="Times New Roman" w:eastAsia="仿宋_GB2312" w:hAnsi="Times New Roman" w:cs="Times New Roman" w:hint="eastAsia"/>
          <w:sz w:val="28"/>
          <w:szCs w:val="28"/>
        </w:rPr>
        <w:t>元素</w:t>
      </w:r>
      <w:r>
        <w:rPr>
          <w:rFonts w:ascii="Times New Roman" w:eastAsia="仿宋_GB2312" w:hAnsi="Times New Roman" w:cs="Times New Roman"/>
          <w:sz w:val="28"/>
          <w:szCs w:val="28"/>
        </w:rPr>
        <w:t>的关系，</w:t>
      </w:r>
      <w:r>
        <w:rPr>
          <w:rFonts w:ascii="Times New Roman" w:eastAsia="仿宋_GB2312" w:hAnsi="Times New Roman" w:cs="Times New Roman" w:hint="eastAsia"/>
          <w:sz w:val="28"/>
          <w:szCs w:val="28"/>
        </w:rPr>
        <w:t>本版分类</w:t>
      </w:r>
      <w:r>
        <w:rPr>
          <w:rFonts w:ascii="Times New Roman" w:eastAsia="仿宋_GB2312" w:hAnsi="Times New Roman" w:cs="Times New Roman"/>
          <w:sz w:val="28"/>
          <w:szCs w:val="28"/>
        </w:rPr>
        <w:t>标准</w:t>
      </w:r>
      <w:r>
        <w:rPr>
          <w:rFonts w:ascii="Times New Roman" w:eastAsia="仿宋_GB2312" w:hAnsi="Times New Roman" w:cs="Times New Roman" w:hint="eastAsia"/>
          <w:sz w:val="28"/>
          <w:szCs w:val="28"/>
        </w:rPr>
        <w:t>基于</w:t>
      </w:r>
      <w:r>
        <w:rPr>
          <w:rFonts w:ascii="Times New Roman" w:eastAsia="仿宋_GB2312" w:hAnsi="Times New Roman" w:cs="Times New Roman"/>
          <w:sz w:val="28"/>
          <w:szCs w:val="28"/>
        </w:rPr>
        <w:t>以下</w:t>
      </w:r>
      <w:r>
        <w:rPr>
          <w:rFonts w:ascii="Times New Roman" w:eastAsia="仿宋_GB2312" w:hAnsi="Times New Roman" w:cs="Times New Roman" w:hint="eastAsia"/>
          <w:sz w:val="28"/>
          <w:szCs w:val="28"/>
        </w:rPr>
        <w:t>原则对</w:t>
      </w:r>
      <w:r>
        <w:rPr>
          <w:rFonts w:ascii="Times New Roman" w:eastAsia="仿宋_GB2312" w:hAnsi="Times New Roman" w:cs="Times New Roman"/>
          <w:sz w:val="28"/>
          <w:szCs w:val="28"/>
        </w:rPr>
        <w:t>元素</w:t>
      </w:r>
      <w:r>
        <w:rPr>
          <w:rFonts w:ascii="Times New Roman" w:eastAsia="仿宋_GB2312" w:hAnsi="Times New Roman" w:cs="Times New Roman" w:hint="eastAsia"/>
          <w:sz w:val="28"/>
          <w:szCs w:val="28"/>
        </w:rPr>
        <w:t>的列报</w:t>
      </w:r>
      <w:r>
        <w:rPr>
          <w:rFonts w:ascii="Times New Roman" w:eastAsia="仿宋_GB2312" w:hAnsi="Times New Roman" w:cs="Times New Roman"/>
          <w:sz w:val="28"/>
          <w:szCs w:val="28"/>
        </w:rPr>
        <w:t>层级关系</w:t>
      </w:r>
      <w:r>
        <w:rPr>
          <w:rFonts w:ascii="Times New Roman" w:eastAsia="仿宋_GB2312" w:hAnsi="Times New Roman" w:cs="Times New Roman" w:hint="eastAsia"/>
          <w:sz w:val="28"/>
          <w:szCs w:val="28"/>
        </w:rPr>
        <w:t>进行</w:t>
      </w:r>
      <w:r>
        <w:rPr>
          <w:rFonts w:ascii="Times New Roman" w:eastAsia="仿宋_GB2312" w:hAnsi="Times New Roman" w:cs="Times New Roman"/>
          <w:sz w:val="28"/>
          <w:szCs w:val="28"/>
        </w:rPr>
        <w:t>设置：</w:t>
      </w:r>
    </w:p>
    <w:p w:rsidR="00BA6D37" w:rsidRDefault="00314976">
      <w:pPr>
        <w:pStyle w:val="af"/>
        <w:numPr>
          <w:ilvl w:val="0"/>
          <w:numId w:val="4"/>
        </w:numPr>
        <w:spacing w:line="560" w:lineRule="exact"/>
        <w:ind w:firstLineChars="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遵照会计准则中合计和分项的层级关系，设置分享元素的列报层级关系，如</w:t>
      </w:r>
      <w:r>
        <w:rPr>
          <w:rFonts w:ascii="Times New Roman" w:eastAsia="仿宋_GB2312" w:hAnsi="Times New Roman" w:cs="Times New Roman"/>
          <w:sz w:val="28"/>
          <w:szCs w:val="28"/>
        </w:rPr>
        <w:t>图</w:t>
      </w: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中“货币资金”和“以公允价值计量且其变动计入当期损益的金融资产”参照会计准则为“资产总计”的子元素；</w:t>
      </w:r>
    </w:p>
    <w:p w:rsidR="00BA6D37" w:rsidRDefault="00314976">
      <w:pPr>
        <w:pStyle w:val="af"/>
        <w:numPr>
          <w:ilvl w:val="0"/>
          <w:numId w:val="4"/>
        </w:numPr>
        <w:spacing w:line="560" w:lineRule="exact"/>
        <w:ind w:firstLineChars="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遵照业务规则模板的预设层级关系，设置层级关系，如图</w:t>
      </w: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中“其他会计准则或制度名称及文号”为“执行会计准则情况”的子元素</w:t>
      </w:r>
      <w:r>
        <w:rPr>
          <w:rFonts w:ascii="Times New Roman" w:eastAsia="仿宋_GB2312" w:hAnsi="Times New Roman" w:cs="Times New Roman"/>
          <w:sz w:val="28"/>
          <w:szCs w:val="28"/>
        </w:rPr>
        <w:t>；</w:t>
      </w:r>
    </w:p>
    <w:p w:rsidR="00BA6D37" w:rsidRDefault="00314976">
      <w:pPr>
        <w:pStyle w:val="ab0"/>
        <w:spacing w:after="240"/>
        <w:ind w:firstLineChars="0" w:firstLine="0"/>
        <w:jc w:val="center"/>
        <w:rPr>
          <w:b/>
          <w:sz w:val="24"/>
          <w:szCs w:val="24"/>
        </w:rPr>
      </w:pPr>
      <w:r>
        <w:rPr>
          <w:rFonts w:hint="eastAsia"/>
          <w:b/>
          <w:sz w:val="24"/>
          <w:szCs w:val="24"/>
        </w:rPr>
        <w:t xml:space="preserve">        </w:t>
      </w:r>
      <w:r>
        <w:rPr>
          <w:noProof/>
        </w:rPr>
        <w:drawing>
          <wp:inline distT="0" distB="0" distL="0" distR="0">
            <wp:extent cx="6189345" cy="12172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6189345" cy="1217295"/>
                    </a:xfrm>
                    <a:prstGeom prst="rect">
                      <a:avLst/>
                    </a:prstGeom>
                  </pic:spPr>
                </pic:pic>
              </a:graphicData>
            </a:graphic>
          </wp:inline>
        </w:drawing>
      </w:r>
    </w:p>
    <w:p w:rsidR="00BA6D37" w:rsidRDefault="00314976">
      <w:pPr>
        <w:pStyle w:val="ab0"/>
        <w:spacing w:after="240"/>
        <w:ind w:firstLine="482"/>
        <w:jc w:val="center"/>
        <w:rPr>
          <w:b/>
          <w:sz w:val="24"/>
          <w:szCs w:val="24"/>
        </w:rPr>
      </w:pPr>
      <w:r>
        <w:rPr>
          <w:rFonts w:hint="eastAsia"/>
          <w:b/>
          <w:sz w:val="24"/>
          <w:szCs w:val="24"/>
        </w:rPr>
        <w:t>图</w:t>
      </w:r>
      <w:r>
        <w:rPr>
          <w:rFonts w:hint="eastAsia"/>
          <w:b/>
          <w:sz w:val="24"/>
          <w:szCs w:val="24"/>
        </w:rPr>
        <w:t>3</w:t>
      </w:r>
      <w:r>
        <w:rPr>
          <w:rFonts w:hint="eastAsia"/>
          <w:b/>
          <w:sz w:val="24"/>
          <w:szCs w:val="24"/>
        </w:rPr>
        <w:t>：</w:t>
      </w:r>
      <w:r>
        <w:rPr>
          <w:b/>
          <w:sz w:val="24"/>
          <w:szCs w:val="24"/>
        </w:rPr>
        <w:t>年度财务报告模板</w:t>
      </w:r>
      <w:r>
        <w:rPr>
          <w:rFonts w:hint="eastAsia"/>
          <w:b/>
          <w:sz w:val="24"/>
          <w:szCs w:val="24"/>
        </w:rPr>
        <w:t>（片段）</w:t>
      </w:r>
    </w:p>
    <w:p w:rsidR="00BA6D37" w:rsidRDefault="00314976">
      <w:pPr>
        <w:pStyle w:val="ab0"/>
        <w:spacing w:after="240"/>
        <w:ind w:firstLine="560"/>
        <w:jc w:val="center"/>
        <w:rPr>
          <w:b/>
          <w:sz w:val="24"/>
          <w:szCs w:val="24"/>
        </w:rPr>
      </w:pPr>
      <w:r>
        <w:rPr>
          <w:noProof/>
        </w:rPr>
        <w:lastRenderedPageBreak/>
        <w:drawing>
          <wp:inline distT="0" distB="0" distL="0" distR="0">
            <wp:extent cx="6189345" cy="22218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6189345" cy="2221865"/>
                    </a:xfrm>
                    <a:prstGeom prst="rect">
                      <a:avLst/>
                    </a:prstGeom>
                  </pic:spPr>
                </pic:pic>
              </a:graphicData>
            </a:graphic>
          </wp:inline>
        </w:drawing>
      </w:r>
    </w:p>
    <w:p w:rsidR="00BA6D37" w:rsidRDefault="00314976">
      <w:pPr>
        <w:pStyle w:val="ab0"/>
        <w:spacing w:after="240"/>
        <w:ind w:firstLine="482"/>
        <w:jc w:val="center"/>
        <w:rPr>
          <w:b/>
          <w:sz w:val="24"/>
          <w:szCs w:val="24"/>
        </w:rPr>
      </w:pPr>
      <w:r>
        <w:rPr>
          <w:rFonts w:hint="eastAsia"/>
          <w:b/>
          <w:sz w:val="24"/>
          <w:szCs w:val="24"/>
        </w:rPr>
        <w:t>图</w:t>
      </w:r>
      <w:r>
        <w:rPr>
          <w:rFonts w:hint="eastAsia"/>
          <w:b/>
          <w:sz w:val="24"/>
          <w:szCs w:val="24"/>
        </w:rPr>
        <w:t>4</w:t>
      </w:r>
      <w:r>
        <w:rPr>
          <w:rFonts w:hint="eastAsia"/>
          <w:b/>
          <w:sz w:val="24"/>
          <w:szCs w:val="24"/>
        </w:rPr>
        <w:t>：</w:t>
      </w:r>
      <w:r>
        <w:rPr>
          <w:b/>
          <w:sz w:val="24"/>
          <w:szCs w:val="24"/>
        </w:rPr>
        <w:t>年度财务报告模板</w:t>
      </w:r>
      <w:r>
        <w:rPr>
          <w:rFonts w:hint="eastAsia"/>
          <w:b/>
          <w:sz w:val="24"/>
          <w:szCs w:val="24"/>
        </w:rPr>
        <w:t>（片段）</w:t>
      </w:r>
    </w:p>
    <w:p w:rsidR="00BA6D37" w:rsidRDefault="00314976">
      <w:pPr>
        <w:pStyle w:val="af3"/>
        <w:wordWrap/>
        <w:spacing w:after="0" w:line="560" w:lineRule="exact"/>
      </w:pPr>
      <w:r>
        <w:rPr>
          <w:rFonts w:cs="Times New Roman"/>
        </w:rPr>
        <w:t>3</w:t>
      </w:r>
      <w:r>
        <w:rPr>
          <w:rFonts w:cs="Times New Roman" w:hint="eastAsia"/>
        </w:rPr>
        <w:t>．</w:t>
      </w:r>
      <w:r>
        <w:rPr>
          <w:rFonts w:hint="eastAsia"/>
        </w:rPr>
        <w:t>扩展链接角色（</w:t>
      </w:r>
      <w:r>
        <w:t>ELR</w:t>
      </w:r>
      <w:r>
        <w:rPr>
          <w:rFonts w:hint="eastAsia"/>
        </w:rPr>
        <w:t>）</w:t>
      </w:r>
    </w:p>
    <w:p w:rsidR="00BA6D37" w:rsidRDefault="00314976">
      <w:pPr>
        <w:pStyle w:val="af5"/>
        <w:wordWrap/>
        <w:spacing w:after="0" w:line="560" w:lineRule="exact"/>
      </w:pPr>
      <w:r>
        <w:rPr>
          <w:rFonts w:hint="eastAsia"/>
        </w:rPr>
        <w:t>（</w:t>
      </w:r>
      <w:r>
        <w:rPr>
          <w:rFonts w:hint="eastAsia"/>
        </w:rPr>
        <w:t>1</w:t>
      </w:r>
      <w:r>
        <w:rPr>
          <w:rFonts w:hint="eastAsia"/>
        </w:rPr>
        <w:t>）扩展链接角色的定义</w:t>
      </w:r>
    </w:p>
    <w:p w:rsidR="00BA6D37" w:rsidRDefault="00314976">
      <w:pPr>
        <w:pStyle w:val="af4"/>
        <w:wordWrap/>
        <w:spacing w:after="0" w:line="560" w:lineRule="exact"/>
      </w:pPr>
      <w:r>
        <w:rPr>
          <w:rFonts w:hint="eastAsia"/>
        </w:rPr>
        <w:t>扩展链接角色（</w:t>
      </w:r>
      <w:r>
        <w:rPr>
          <w:rFonts w:hint="eastAsia"/>
        </w:rPr>
        <w:t>ELR</w:t>
      </w:r>
      <w:r>
        <w:rPr>
          <w:rFonts w:hint="eastAsia"/>
        </w:rPr>
        <w:t>）</w:t>
      </w:r>
      <w:bookmarkStart w:id="3" w:name="OLE_LINK2"/>
      <w:bookmarkStart w:id="4" w:name="OLE_LINK1"/>
      <w:r>
        <w:rPr>
          <w:rFonts w:hint="eastAsia"/>
        </w:rPr>
        <w:t>是一组可被视为一个整体进行处理的私募基金各类报告的标识符</w:t>
      </w:r>
      <w:bookmarkEnd w:id="3"/>
      <w:bookmarkEnd w:id="4"/>
      <w:r>
        <w:rPr>
          <w:rFonts w:hint="eastAsia"/>
        </w:rPr>
        <w:t>。</w:t>
      </w:r>
      <w:bookmarkStart w:id="5" w:name="OLE_LINK15"/>
      <w:bookmarkStart w:id="6" w:name="OLE_LINK16"/>
      <w:r>
        <w:rPr>
          <w:rFonts w:hint="eastAsia"/>
        </w:rPr>
        <w:t>分类标准将私募基金各类报告按照实际业务的</w:t>
      </w:r>
      <w:r>
        <w:t>报表</w:t>
      </w:r>
      <w:r>
        <w:rPr>
          <w:rFonts w:hint="eastAsia"/>
        </w:rPr>
        <w:t>分成若干扩展链接角色，每个扩展链接角色对应报告中</w:t>
      </w:r>
      <w:r>
        <w:t>的</w:t>
      </w:r>
      <w:bookmarkEnd w:id="5"/>
      <w:bookmarkEnd w:id="6"/>
      <w:r>
        <w:t>一个章节、一个段落、一个表格</w:t>
      </w:r>
      <w:r>
        <w:rPr>
          <w:rFonts w:hint="eastAsia"/>
        </w:rPr>
        <w:t>或表格中</w:t>
      </w:r>
      <w:r>
        <w:t>的一部分</w:t>
      </w:r>
      <w:r>
        <w:rPr>
          <w:rFonts w:hint="eastAsia"/>
        </w:rPr>
        <w:t>。</w:t>
      </w:r>
    </w:p>
    <w:p w:rsidR="00BA6D37" w:rsidRDefault="00314976">
      <w:pPr>
        <w:pStyle w:val="af4"/>
        <w:wordWrap/>
        <w:spacing w:after="0" w:line="560" w:lineRule="exact"/>
      </w:pPr>
      <w:r>
        <w:rPr>
          <w:rFonts w:hint="eastAsia"/>
        </w:rPr>
        <w:t>（</w:t>
      </w:r>
      <w:r>
        <w:rPr>
          <w:rFonts w:hint="eastAsia"/>
        </w:rPr>
        <w:t>2</w:t>
      </w:r>
      <w:r>
        <w:rPr>
          <w:rFonts w:hint="eastAsia"/>
        </w:rPr>
        <w:t>）扩展链接角色的统一资源标识符（</w:t>
      </w:r>
      <w:r>
        <w:rPr>
          <w:rFonts w:hint="eastAsia"/>
        </w:rPr>
        <w:t>URI</w:t>
      </w:r>
      <w:r>
        <w:rPr>
          <w:rFonts w:hint="eastAsia"/>
        </w:rPr>
        <w:t>）的定义</w:t>
      </w:r>
    </w:p>
    <w:p w:rsidR="00BA6D37" w:rsidRDefault="00314976">
      <w:pPr>
        <w:pStyle w:val="af4"/>
        <w:wordWrap/>
        <w:spacing w:after="0" w:line="560" w:lineRule="exact"/>
      </w:pPr>
      <w:r>
        <w:rPr>
          <w:rFonts w:hint="eastAsia"/>
        </w:rPr>
        <w:t>在设计扩展链接角色时，分类标准依据</w:t>
      </w:r>
      <w:r>
        <w:rPr>
          <w:rFonts w:hint="eastAsia"/>
        </w:rPr>
        <w:t>GB/T25500-2010</w:t>
      </w:r>
      <w:r>
        <w:rPr>
          <w:rFonts w:hint="eastAsia"/>
        </w:rPr>
        <w:t>《可扩展商业报告语言（</w:t>
      </w:r>
      <w:r>
        <w:rPr>
          <w:rFonts w:hint="eastAsia"/>
        </w:rPr>
        <w:t>XBRL</w:t>
      </w:r>
      <w:r>
        <w:rPr>
          <w:rFonts w:hint="eastAsia"/>
        </w:rPr>
        <w:t>）技术规范》系列国家标准的规定，为每个扩展链接角色定义了统一资源标识符，统一资源标识符的定义遵循以下模式：</w:t>
      </w:r>
    </w:p>
    <w:p w:rsidR="00BA6D37" w:rsidRDefault="00314976">
      <w:pPr>
        <w:pStyle w:val="af4"/>
        <w:wordWrap/>
        <w:spacing w:after="0" w:line="560" w:lineRule="exact"/>
      </w:pPr>
      <w:r>
        <w:t>http://www.amac.org.cn/taxonomy/2016-03-31/amac/</w:t>
      </w:r>
      <w:r>
        <w:rPr>
          <w:rFonts w:hint="eastAsia"/>
        </w:rPr>
        <w:t>rol</w:t>
      </w:r>
      <w:r>
        <w:t>_</w:t>
      </w:r>
      <w:r>
        <w:rPr>
          <w:rFonts w:hint="eastAsia"/>
        </w:rPr>
        <w:t>{</w:t>
      </w:r>
      <w:r>
        <w:t>“</w:t>
      </w:r>
      <w:r>
        <w:rPr>
          <w:rFonts w:hint="eastAsia"/>
        </w:rPr>
        <w:t>编码</w:t>
      </w:r>
      <w:r>
        <w:t>”</w:t>
      </w:r>
      <w:r>
        <w:rPr>
          <w:rFonts w:hint="eastAsia"/>
        </w:rPr>
        <w:t>}</w:t>
      </w:r>
    </w:p>
    <w:p w:rsidR="00BA6D37" w:rsidRDefault="00314976">
      <w:pPr>
        <w:pStyle w:val="af4"/>
        <w:wordWrap/>
        <w:spacing w:after="0" w:line="560" w:lineRule="exact"/>
      </w:pPr>
      <w:r>
        <w:rPr>
          <w:rFonts w:hint="eastAsia"/>
        </w:rPr>
        <w:t>“编码”表示扩展链接角色的</w:t>
      </w:r>
      <w:r>
        <w:t>4</w:t>
      </w:r>
      <w:r>
        <w:rPr>
          <w:rFonts w:hint="eastAsia"/>
        </w:rPr>
        <w:t>位编码，便于计算机识别及检索</w:t>
      </w:r>
      <w:r>
        <w:t>，编码规则为前两位表示</w:t>
      </w:r>
      <w:r>
        <w:rPr>
          <w:rFonts w:hint="eastAsia"/>
        </w:rPr>
        <w:t>报告模板类型，后两位表示按该报告中章节段落排序编号。</w:t>
      </w:r>
    </w:p>
    <w:p w:rsidR="00BA6D37" w:rsidRDefault="00314976">
      <w:pPr>
        <w:pStyle w:val="af4"/>
        <w:wordWrap/>
        <w:spacing w:after="0" w:line="560" w:lineRule="exact"/>
        <w:ind w:firstLineChars="0" w:firstLine="0"/>
        <w:jc w:val="center"/>
        <w:rPr>
          <w:b/>
          <w:sz w:val="24"/>
          <w:szCs w:val="24"/>
        </w:rPr>
      </w:pPr>
      <w:r>
        <w:rPr>
          <w:rFonts w:hint="eastAsia"/>
          <w:b/>
          <w:sz w:val="24"/>
          <w:szCs w:val="24"/>
        </w:rPr>
        <w:t>扩展</w:t>
      </w:r>
      <w:r>
        <w:rPr>
          <w:b/>
          <w:sz w:val="24"/>
          <w:szCs w:val="24"/>
        </w:rPr>
        <w:t>链接角色</w:t>
      </w:r>
      <w:r>
        <w:rPr>
          <w:rFonts w:hint="eastAsia"/>
          <w:b/>
          <w:sz w:val="24"/>
          <w:szCs w:val="24"/>
        </w:rPr>
        <w:t>编码及其</w:t>
      </w:r>
      <w:r>
        <w:rPr>
          <w:b/>
          <w:sz w:val="24"/>
          <w:szCs w:val="24"/>
        </w:rPr>
        <w:t>对应的数字</w:t>
      </w:r>
      <w:r>
        <w:rPr>
          <w:rFonts w:hint="eastAsia"/>
          <w:b/>
          <w:sz w:val="24"/>
          <w:szCs w:val="24"/>
        </w:rPr>
        <w:t>含义</w:t>
      </w:r>
    </w:p>
    <w:tbl>
      <w:tblPr>
        <w:tblStyle w:val="aa"/>
        <w:tblW w:w="0" w:type="auto"/>
        <w:tblLook w:val="04A0" w:firstRow="1" w:lastRow="0" w:firstColumn="1" w:lastColumn="0" w:noHBand="0" w:noVBand="1"/>
      </w:tblPr>
      <w:tblGrid>
        <w:gridCol w:w="1526"/>
        <w:gridCol w:w="2977"/>
        <w:gridCol w:w="1275"/>
        <w:gridCol w:w="4185"/>
      </w:tblGrid>
      <w:tr w:rsidR="00BA6D37" w:rsidTr="00F22920">
        <w:tc>
          <w:tcPr>
            <w:tcW w:w="1526" w:type="dxa"/>
            <w:vAlign w:val="center"/>
          </w:tcPr>
          <w:p w:rsidR="00BA6D37" w:rsidRDefault="00314976">
            <w:pPr>
              <w:pStyle w:val="af4"/>
              <w:wordWrap/>
              <w:spacing w:after="0" w:line="560" w:lineRule="exact"/>
              <w:ind w:firstLineChars="0" w:firstLine="0"/>
            </w:pPr>
            <w:r>
              <w:rPr>
                <w:rFonts w:hint="eastAsia"/>
                <w:b/>
                <w:sz w:val="24"/>
              </w:rPr>
              <w:t>编码位数</w:t>
            </w:r>
          </w:p>
        </w:tc>
        <w:tc>
          <w:tcPr>
            <w:tcW w:w="2977" w:type="dxa"/>
            <w:vAlign w:val="center"/>
          </w:tcPr>
          <w:p w:rsidR="00BA6D37" w:rsidRDefault="00314976">
            <w:pPr>
              <w:pStyle w:val="af4"/>
              <w:wordWrap/>
              <w:spacing w:after="0" w:line="560" w:lineRule="exact"/>
              <w:ind w:firstLineChars="0" w:firstLine="0"/>
            </w:pPr>
            <w:r>
              <w:rPr>
                <w:rFonts w:hint="eastAsia"/>
                <w:b/>
                <w:sz w:val="24"/>
              </w:rPr>
              <w:t>编码</w:t>
            </w:r>
            <w:r>
              <w:rPr>
                <w:b/>
                <w:sz w:val="24"/>
              </w:rPr>
              <w:t>含义</w:t>
            </w:r>
          </w:p>
        </w:tc>
        <w:tc>
          <w:tcPr>
            <w:tcW w:w="1275" w:type="dxa"/>
            <w:vAlign w:val="center"/>
          </w:tcPr>
          <w:p w:rsidR="00BA6D37" w:rsidRDefault="00314976">
            <w:pPr>
              <w:pStyle w:val="af4"/>
              <w:wordWrap/>
              <w:spacing w:after="0" w:line="560" w:lineRule="exact"/>
              <w:ind w:firstLineChars="0" w:firstLine="0"/>
            </w:pPr>
            <w:r>
              <w:rPr>
                <w:rFonts w:hint="eastAsia"/>
                <w:b/>
                <w:sz w:val="24"/>
              </w:rPr>
              <w:t>是否必须</w:t>
            </w:r>
          </w:p>
        </w:tc>
        <w:tc>
          <w:tcPr>
            <w:tcW w:w="4185" w:type="dxa"/>
            <w:vAlign w:val="center"/>
          </w:tcPr>
          <w:p w:rsidR="00BA6D37" w:rsidRDefault="00314976">
            <w:pPr>
              <w:pStyle w:val="af4"/>
              <w:wordWrap/>
              <w:spacing w:after="0" w:line="560" w:lineRule="exact"/>
              <w:ind w:firstLineChars="0" w:firstLine="0"/>
            </w:pPr>
            <w:r>
              <w:rPr>
                <w:rFonts w:hint="eastAsia"/>
                <w:b/>
                <w:sz w:val="24"/>
              </w:rPr>
              <w:t>对应的</w:t>
            </w:r>
            <w:r>
              <w:rPr>
                <w:b/>
                <w:sz w:val="24"/>
              </w:rPr>
              <w:t>数字或字母含义</w:t>
            </w:r>
          </w:p>
        </w:tc>
      </w:tr>
      <w:tr w:rsidR="00BA6D37" w:rsidTr="00F22920">
        <w:tc>
          <w:tcPr>
            <w:tcW w:w="1526" w:type="dxa"/>
          </w:tcPr>
          <w:p w:rsidR="00BA6D37" w:rsidRDefault="00314976">
            <w:pPr>
              <w:pStyle w:val="af4"/>
              <w:wordWrap/>
              <w:spacing w:after="0" w:line="560" w:lineRule="exact"/>
              <w:ind w:firstLineChars="0" w:firstLine="0"/>
              <w:rPr>
                <w:sz w:val="21"/>
                <w:szCs w:val="21"/>
              </w:rPr>
            </w:pPr>
            <w:r>
              <w:rPr>
                <w:rFonts w:hint="eastAsia"/>
                <w:sz w:val="21"/>
                <w:szCs w:val="21"/>
              </w:rPr>
              <w:t>前两位编码</w:t>
            </w:r>
          </w:p>
        </w:tc>
        <w:tc>
          <w:tcPr>
            <w:tcW w:w="2977" w:type="dxa"/>
          </w:tcPr>
          <w:p w:rsidR="00BA6D37" w:rsidRDefault="00314976">
            <w:pPr>
              <w:pStyle w:val="af4"/>
              <w:wordWrap/>
              <w:spacing w:after="0" w:line="560" w:lineRule="exact"/>
              <w:ind w:firstLineChars="0" w:firstLine="0"/>
              <w:rPr>
                <w:sz w:val="21"/>
                <w:szCs w:val="21"/>
              </w:rPr>
            </w:pPr>
            <w:r>
              <w:rPr>
                <w:rFonts w:hint="eastAsia"/>
                <w:sz w:val="21"/>
                <w:szCs w:val="21"/>
              </w:rPr>
              <w:t>报告模板类型</w:t>
            </w:r>
          </w:p>
        </w:tc>
        <w:tc>
          <w:tcPr>
            <w:tcW w:w="1275" w:type="dxa"/>
          </w:tcPr>
          <w:p w:rsidR="00BA6D37" w:rsidRDefault="00314976">
            <w:pPr>
              <w:pStyle w:val="af4"/>
              <w:wordWrap/>
              <w:spacing w:after="0" w:line="560" w:lineRule="exact"/>
              <w:ind w:firstLineChars="0" w:firstLine="0"/>
              <w:rPr>
                <w:sz w:val="21"/>
                <w:szCs w:val="21"/>
              </w:rPr>
            </w:pPr>
            <w:r>
              <w:rPr>
                <w:rFonts w:hint="eastAsia"/>
                <w:sz w:val="21"/>
                <w:szCs w:val="21"/>
              </w:rPr>
              <w:t>是</w:t>
            </w:r>
          </w:p>
        </w:tc>
        <w:tc>
          <w:tcPr>
            <w:tcW w:w="4185" w:type="dxa"/>
          </w:tcPr>
          <w:p w:rsidR="00BA6D37" w:rsidRDefault="00314976">
            <w:pPr>
              <w:pStyle w:val="af4"/>
              <w:wordWrap/>
              <w:spacing w:after="0" w:line="560" w:lineRule="exact"/>
              <w:ind w:firstLineChars="0" w:firstLine="0"/>
              <w:rPr>
                <w:sz w:val="21"/>
                <w:szCs w:val="21"/>
              </w:rPr>
            </w:pPr>
            <w:r>
              <w:rPr>
                <w:rFonts w:hint="eastAsia"/>
                <w:sz w:val="21"/>
                <w:szCs w:val="21"/>
              </w:rPr>
              <w:t>0</w:t>
            </w:r>
            <w:r>
              <w:rPr>
                <w:sz w:val="21"/>
                <w:szCs w:val="21"/>
              </w:rPr>
              <w:t>1</w:t>
            </w:r>
            <w:r>
              <w:rPr>
                <w:rFonts w:hint="eastAsia"/>
                <w:sz w:val="21"/>
                <w:szCs w:val="21"/>
              </w:rPr>
              <w:t>证券投资类私募基金月报</w:t>
            </w:r>
          </w:p>
          <w:p w:rsidR="00BA6D37" w:rsidRDefault="00314976">
            <w:pPr>
              <w:pStyle w:val="af4"/>
              <w:wordWrap/>
              <w:spacing w:after="0" w:line="560" w:lineRule="exact"/>
              <w:ind w:firstLineChars="0" w:firstLine="0"/>
              <w:rPr>
                <w:sz w:val="21"/>
                <w:szCs w:val="21"/>
              </w:rPr>
            </w:pPr>
            <w:r>
              <w:rPr>
                <w:rFonts w:hint="eastAsia"/>
                <w:sz w:val="21"/>
                <w:szCs w:val="21"/>
              </w:rPr>
              <w:lastRenderedPageBreak/>
              <w:t>0</w:t>
            </w:r>
            <w:r>
              <w:rPr>
                <w:sz w:val="21"/>
                <w:szCs w:val="21"/>
              </w:rPr>
              <w:t>2</w:t>
            </w:r>
            <w:r>
              <w:rPr>
                <w:rFonts w:hint="eastAsia"/>
                <w:sz w:val="21"/>
                <w:szCs w:val="21"/>
              </w:rPr>
              <w:t>证券投资类私募基金季报</w:t>
            </w:r>
          </w:p>
          <w:p w:rsidR="00BA6D37" w:rsidRDefault="00314976">
            <w:pPr>
              <w:pStyle w:val="af4"/>
              <w:wordWrap/>
              <w:spacing w:after="0" w:line="560" w:lineRule="exact"/>
              <w:ind w:firstLineChars="0" w:firstLine="0"/>
              <w:rPr>
                <w:sz w:val="21"/>
                <w:szCs w:val="21"/>
              </w:rPr>
            </w:pPr>
            <w:r>
              <w:rPr>
                <w:rFonts w:hint="eastAsia"/>
                <w:sz w:val="21"/>
                <w:szCs w:val="21"/>
              </w:rPr>
              <w:t>0</w:t>
            </w:r>
            <w:r>
              <w:rPr>
                <w:sz w:val="21"/>
                <w:szCs w:val="21"/>
              </w:rPr>
              <w:t>3</w:t>
            </w:r>
            <w:r>
              <w:rPr>
                <w:rFonts w:hint="eastAsia"/>
                <w:sz w:val="21"/>
                <w:szCs w:val="21"/>
              </w:rPr>
              <w:t>证券投资类私募基金年报</w:t>
            </w:r>
          </w:p>
          <w:p w:rsidR="00BA6D37" w:rsidRDefault="00314976">
            <w:pPr>
              <w:pStyle w:val="af4"/>
              <w:wordWrap/>
              <w:spacing w:after="0" w:line="560" w:lineRule="exact"/>
              <w:ind w:firstLineChars="0" w:firstLine="0"/>
              <w:rPr>
                <w:sz w:val="21"/>
                <w:szCs w:val="21"/>
              </w:rPr>
            </w:pPr>
            <w:r>
              <w:rPr>
                <w:rFonts w:hint="eastAsia"/>
                <w:sz w:val="21"/>
                <w:szCs w:val="21"/>
              </w:rPr>
              <w:t>0</w:t>
            </w:r>
            <w:r>
              <w:rPr>
                <w:sz w:val="21"/>
                <w:szCs w:val="21"/>
              </w:rPr>
              <w:t>4</w:t>
            </w:r>
            <w:r>
              <w:rPr>
                <w:rFonts w:hint="eastAsia"/>
                <w:sz w:val="21"/>
                <w:szCs w:val="21"/>
              </w:rPr>
              <w:t>股权投资类私募基金季报</w:t>
            </w:r>
          </w:p>
          <w:p w:rsidR="00BA6D37" w:rsidRDefault="00314976">
            <w:pPr>
              <w:pStyle w:val="af4"/>
              <w:wordWrap/>
              <w:spacing w:after="0" w:line="560" w:lineRule="exact"/>
              <w:ind w:firstLineChars="0" w:firstLine="0"/>
              <w:rPr>
                <w:sz w:val="21"/>
                <w:szCs w:val="21"/>
              </w:rPr>
            </w:pPr>
            <w:r>
              <w:rPr>
                <w:rFonts w:hint="eastAsia"/>
                <w:sz w:val="21"/>
                <w:szCs w:val="21"/>
              </w:rPr>
              <w:t>0</w:t>
            </w:r>
            <w:r>
              <w:rPr>
                <w:sz w:val="21"/>
                <w:szCs w:val="21"/>
              </w:rPr>
              <w:t>5</w:t>
            </w:r>
            <w:r>
              <w:rPr>
                <w:rFonts w:hint="eastAsia"/>
                <w:sz w:val="21"/>
                <w:szCs w:val="21"/>
              </w:rPr>
              <w:t>股权投资类私募基金半年报</w:t>
            </w:r>
          </w:p>
          <w:p w:rsidR="00BA6D37" w:rsidRDefault="00314976">
            <w:pPr>
              <w:pStyle w:val="af4"/>
              <w:wordWrap/>
              <w:spacing w:after="0" w:line="560" w:lineRule="exact"/>
              <w:ind w:firstLineChars="0" w:firstLine="0"/>
              <w:rPr>
                <w:sz w:val="21"/>
                <w:szCs w:val="21"/>
              </w:rPr>
            </w:pPr>
            <w:r>
              <w:rPr>
                <w:rFonts w:hint="eastAsia"/>
                <w:sz w:val="21"/>
                <w:szCs w:val="21"/>
              </w:rPr>
              <w:t>0</w:t>
            </w:r>
            <w:r>
              <w:rPr>
                <w:sz w:val="21"/>
                <w:szCs w:val="21"/>
              </w:rPr>
              <w:t>6</w:t>
            </w:r>
            <w:r>
              <w:rPr>
                <w:rFonts w:hint="eastAsia"/>
                <w:sz w:val="21"/>
                <w:szCs w:val="21"/>
              </w:rPr>
              <w:t>股权投资类私募基金年报</w:t>
            </w:r>
          </w:p>
          <w:p w:rsidR="00BA6D37" w:rsidRDefault="00314976">
            <w:pPr>
              <w:pStyle w:val="af4"/>
              <w:wordWrap/>
              <w:spacing w:after="0" w:line="560" w:lineRule="exact"/>
              <w:ind w:firstLineChars="0" w:firstLine="0"/>
              <w:rPr>
                <w:sz w:val="21"/>
                <w:szCs w:val="21"/>
              </w:rPr>
            </w:pPr>
            <w:r>
              <w:rPr>
                <w:rFonts w:hint="eastAsia"/>
                <w:sz w:val="21"/>
                <w:szCs w:val="21"/>
              </w:rPr>
              <w:t>0</w:t>
            </w:r>
            <w:r>
              <w:rPr>
                <w:sz w:val="21"/>
                <w:szCs w:val="21"/>
              </w:rPr>
              <w:t>7</w:t>
            </w:r>
            <w:r>
              <w:rPr>
                <w:rFonts w:hint="eastAsia"/>
                <w:sz w:val="21"/>
                <w:szCs w:val="21"/>
              </w:rPr>
              <w:t>产品运行表</w:t>
            </w:r>
          </w:p>
          <w:p w:rsidR="00BA6D37" w:rsidRDefault="00314976">
            <w:pPr>
              <w:pStyle w:val="af4"/>
              <w:wordWrap/>
              <w:spacing w:after="0" w:line="560" w:lineRule="exact"/>
              <w:ind w:firstLineChars="0" w:firstLine="0"/>
              <w:rPr>
                <w:sz w:val="21"/>
                <w:szCs w:val="21"/>
              </w:rPr>
            </w:pPr>
            <w:r>
              <w:rPr>
                <w:rFonts w:hint="eastAsia"/>
                <w:sz w:val="21"/>
                <w:szCs w:val="21"/>
              </w:rPr>
              <w:t>0</w:t>
            </w:r>
            <w:r>
              <w:rPr>
                <w:sz w:val="21"/>
                <w:szCs w:val="21"/>
              </w:rPr>
              <w:t>8</w:t>
            </w:r>
            <w:r>
              <w:rPr>
                <w:rFonts w:hint="eastAsia"/>
                <w:sz w:val="21"/>
                <w:szCs w:val="21"/>
              </w:rPr>
              <w:t>产品清算</w:t>
            </w:r>
          </w:p>
          <w:p w:rsidR="00BA6D37" w:rsidRDefault="00314976">
            <w:pPr>
              <w:pStyle w:val="af4"/>
              <w:wordWrap/>
              <w:spacing w:after="0" w:line="560" w:lineRule="exact"/>
              <w:ind w:firstLineChars="0" w:firstLine="0"/>
              <w:rPr>
                <w:sz w:val="21"/>
                <w:szCs w:val="21"/>
              </w:rPr>
            </w:pPr>
            <w:r>
              <w:rPr>
                <w:rFonts w:hint="eastAsia"/>
                <w:sz w:val="21"/>
                <w:szCs w:val="21"/>
              </w:rPr>
              <w:t>0</w:t>
            </w:r>
            <w:r>
              <w:rPr>
                <w:sz w:val="21"/>
                <w:szCs w:val="21"/>
              </w:rPr>
              <w:t>9</w:t>
            </w:r>
            <w:r>
              <w:rPr>
                <w:rFonts w:hint="eastAsia"/>
                <w:sz w:val="21"/>
                <w:szCs w:val="21"/>
              </w:rPr>
              <w:t>年度财务监测报告</w:t>
            </w:r>
          </w:p>
          <w:p w:rsidR="00651DD3" w:rsidRDefault="00651DD3">
            <w:pPr>
              <w:pStyle w:val="af4"/>
              <w:wordWrap/>
              <w:spacing w:after="0" w:line="560" w:lineRule="exact"/>
              <w:ind w:firstLineChars="0" w:firstLine="0"/>
              <w:rPr>
                <w:sz w:val="21"/>
                <w:szCs w:val="21"/>
              </w:rPr>
            </w:pPr>
            <w:r>
              <w:rPr>
                <w:rFonts w:hint="eastAsia"/>
                <w:sz w:val="21"/>
                <w:szCs w:val="21"/>
              </w:rPr>
              <w:t>1</w:t>
            </w:r>
            <w:r>
              <w:rPr>
                <w:sz w:val="21"/>
                <w:szCs w:val="21"/>
              </w:rPr>
              <w:t>1</w:t>
            </w:r>
            <w:r w:rsidRPr="00651DD3">
              <w:rPr>
                <w:rFonts w:hint="eastAsia"/>
                <w:sz w:val="21"/>
                <w:szCs w:val="21"/>
              </w:rPr>
              <w:t>量化私募基金运行报表</w:t>
            </w:r>
          </w:p>
          <w:p w:rsidR="00651DD3" w:rsidRDefault="00651DD3">
            <w:pPr>
              <w:pStyle w:val="af4"/>
              <w:wordWrap/>
              <w:spacing w:after="0" w:line="560" w:lineRule="exact"/>
              <w:ind w:firstLineChars="0" w:firstLine="0"/>
              <w:rPr>
                <w:sz w:val="21"/>
                <w:szCs w:val="21"/>
              </w:rPr>
            </w:pPr>
            <w:r>
              <w:rPr>
                <w:rFonts w:hint="eastAsia"/>
                <w:sz w:val="21"/>
                <w:szCs w:val="21"/>
              </w:rPr>
              <w:t>1</w:t>
            </w:r>
            <w:r>
              <w:rPr>
                <w:sz w:val="21"/>
                <w:szCs w:val="21"/>
              </w:rPr>
              <w:t>2</w:t>
            </w:r>
            <w:r w:rsidRPr="00651DD3">
              <w:rPr>
                <w:rFonts w:hint="eastAsia"/>
                <w:sz w:val="21"/>
                <w:szCs w:val="21"/>
              </w:rPr>
              <w:t>规模以上证券类管理人报表</w:t>
            </w:r>
          </w:p>
        </w:tc>
      </w:tr>
      <w:tr w:rsidR="00BA6D37" w:rsidTr="00F22920">
        <w:tc>
          <w:tcPr>
            <w:tcW w:w="1526" w:type="dxa"/>
          </w:tcPr>
          <w:p w:rsidR="00BA6D37" w:rsidRDefault="00314976">
            <w:pPr>
              <w:pStyle w:val="af4"/>
              <w:wordWrap/>
              <w:spacing w:after="0" w:line="560" w:lineRule="exact"/>
              <w:ind w:firstLineChars="0" w:firstLine="0"/>
              <w:rPr>
                <w:sz w:val="21"/>
                <w:szCs w:val="21"/>
              </w:rPr>
            </w:pPr>
            <w:r>
              <w:rPr>
                <w:rFonts w:hint="eastAsia"/>
                <w:sz w:val="21"/>
                <w:szCs w:val="21"/>
              </w:rPr>
              <w:lastRenderedPageBreak/>
              <w:t>后两位编码</w:t>
            </w:r>
          </w:p>
        </w:tc>
        <w:tc>
          <w:tcPr>
            <w:tcW w:w="2977" w:type="dxa"/>
          </w:tcPr>
          <w:p w:rsidR="00BA6D37" w:rsidRDefault="00314976">
            <w:pPr>
              <w:pStyle w:val="af4"/>
              <w:wordWrap/>
              <w:spacing w:after="0" w:line="560" w:lineRule="exact"/>
              <w:ind w:firstLineChars="0" w:firstLine="0"/>
              <w:rPr>
                <w:sz w:val="21"/>
                <w:szCs w:val="21"/>
              </w:rPr>
            </w:pPr>
            <w:r>
              <w:rPr>
                <w:rFonts w:hint="eastAsia"/>
                <w:sz w:val="21"/>
                <w:szCs w:val="21"/>
              </w:rPr>
              <w:t>按该报告中章节段落排序编号</w:t>
            </w:r>
          </w:p>
        </w:tc>
        <w:tc>
          <w:tcPr>
            <w:tcW w:w="1275" w:type="dxa"/>
          </w:tcPr>
          <w:p w:rsidR="00BA6D37" w:rsidRDefault="00314976">
            <w:pPr>
              <w:pStyle w:val="af4"/>
              <w:wordWrap/>
              <w:spacing w:after="0" w:line="560" w:lineRule="exact"/>
              <w:ind w:firstLineChars="0" w:firstLine="0"/>
              <w:rPr>
                <w:sz w:val="21"/>
                <w:szCs w:val="21"/>
              </w:rPr>
            </w:pPr>
            <w:r>
              <w:rPr>
                <w:rFonts w:hint="eastAsia"/>
                <w:sz w:val="21"/>
                <w:szCs w:val="21"/>
              </w:rPr>
              <w:t>是</w:t>
            </w:r>
          </w:p>
        </w:tc>
        <w:tc>
          <w:tcPr>
            <w:tcW w:w="4185" w:type="dxa"/>
          </w:tcPr>
          <w:p w:rsidR="00BA6D37" w:rsidRDefault="00314976">
            <w:pPr>
              <w:pStyle w:val="af4"/>
              <w:wordWrap/>
              <w:spacing w:after="0" w:line="560" w:lineRule="exact"/>
              <w:ind w:firstLineChars="0" w:firstLine="0"/>
              <w:rPr>
                <w:sz w:val="21"/>
                <w:szCs w:val="21"/>
              </w:rPr>
            </w:pPr>
            <w:r>
              <w:rPr>
                <w:sz w:val="21"/>
                <w:szCs w:val="21"/>
              </w:rPr>
              <w:t>数字按报告内容排序</w:t>
            </w:r>
          </w:p>
        </w:tc>
      </w:tr>
    </w:tbl>
    <w:p w:rsidR="00BA6D37" w:rsidRDefault="00BA6D37">
      <w:pPr>
        <w:pStyle w:val="af4"/>
        <w:wordWrap/>
        <w:spacing w:after="0" w:line="560" w:lineRule="exact"/>
      </w:pPr>
    </w:p>
    <w:p w:rsidR="00BA6D37" w:rsidRDefault="00314976">
      <w:pPr>
        <w:pStyle w:val="af4"/>
        <w:wordWrap/>
        <w:spacing w:after="0" w:line="560" w:lineRule="exact"/>
      </w:pPr>
      <w:r>
        <w:rPr>
          <w:rFonts w:hint="eastAsia"/>
        </w:rPr>
        <w:t>例如：</w:t>
      </w:r>
      <w:bookmarkStart w:id="7" w:name="OLE_LINK26"/>
      <w:bookmarkStart w:id="8" w:name="OLE_LINK25"/>
      <w:r>
        <w:rPr>
          <w:rFonts w:hint="eastAsia"/>
        </w:rPr>
        <w:t>证券投资型私募基金信息披露年度报告</w:t>
      </w:r>
      <w:r>
        <w:t>中的</w:t>
      </w:r>
      <w:r>
        <w:rPr>
          <w:rFonts w:hint="eastAsia"/>
        </w:rPr>
        <w:t>“基金产品概况”对应的扩展链接角色的统一资源标识符为：</w:t>
      </w:r>
      <w:r>
        <w:t>http://www.amac.org.cn/taxonomy/2016-03-31/amac/ rol_0301</w:t>
      </w:r>
      <w:r>
        <w:rPr>
          <w:rFonts w:hint="eastAsia"/>
        </w:rPr>
        <w:t>，其中编码中前两位</w:t>
      </w:r>
      <w:r>
        <w:rPr>
          <w:rFonts w:hint="eastAsia"/>
        </w:rPr>
        <w:t>0</w:t>
      </w:r>
      <w:r>
        <w:t>3</w:t>
      </w:r>
      <w:r>
        <w:t>代表证券投资类私募基金年报，后两位</w:t>
      </w:r>
      <w:r>
        <w:rPr>
          <w:rFonts w:hint="eastAsia"/>
        </w:rPr>
        <w:t>0</w:t>
      </w:r>
      <w:r>
        <w:t>1</w:t>
      </w:r>
      <w:r>
        <w:t>代表该报告中第一个章节段落的</w:t>
      </w:r>
      <w:r>
        <w:rPr>
          <w:rFonts w:hint="eastAsia"/>
        </w:rPr>
        <w:t>“基金产品概况”。</w:t>
      </w:r>
    </w:p>
    <w:bookmarkEnd w:id="7"/>
    <w:bookmarkEnd w:id="8"/>
    <w:p w:rsidR="00BA6D37" w:rsidRDefault="00314976">
      <w:pPr>
        <w:pStyle w:val="af2"/>
        <w:numPr>
          <w:ilvl w:val="0"/>
          <w:numId w:val="3"/>
        </w:numPr>
        <w:wordWrap/>
        <w:spacing w:line="560" w:lineRule="exact"/>
        <w:ind w:firstLineChars="0"/>
        <w:rPr>
          <w:b w:val="0"/>
        </w:rPr>
      </w:pPr>
      <w:r>
        <w:rPr>
          <w:rFonts w:hint="eastAsia"/>
        </w:rPr>
        <w:t>分类标准的物理</w:t>
      </w:r>
      <w:r>
        <w:t>结构</w:t>
      </w:r>
    </w:p>
    <w:p w:rsidR="00BA6D37" w:rsidRDefault="00314976">
      <w:pPr>
        <w:pStyle w:val="af4"/>
        <w:wordWrap/>
        <w:spacing w:after="0" w:line="560" w:lineRule="exact"/>
      </w:pPr>
      <w:r>
        <w:rPr>
          <w:rFonts w:hint="eastAsia"/>
        </w:rPr>
        <w:t>从物理形态上来看，分类标准是一个电子文件包，分类标准文件分别位于</w:t>
      </w:r>
      <w:r>
        <w:t>2</w:t>
      </w:r>
      <w:r>
        <w:rPr>
          <w:rFonts w:hint="eastAsia"/>
        </w:rPr>
        <w:t>个层级的文件夹内。本版分类标准的文件夹和文件结构如图</w:t>
      </w:r>
      <w:r>
        <w:t>5</w:t>
      </w:r>
      <w:r>
        <w:rPr>
          <w:rFonts w:hint="eastAsia"/>
        </w:rPr>
        <w:t>所示：</w:t>
      </w:r>
      <w:r>
        <w:t xml:space="preserve"> </w:t>
      </w:r>
    </w:p>
    <w:p w:rsidR="00BA6D37" w:rsidRDefault="00314976">
      <w:pPr>
        <w:pStyle w:val="ab0"/>
        <w:spacing w:afterLines="0" w:line="240" w:lineRule="auto"/>
        <w:ind w:firstLineChars="0" w:firstLine="0"/>
        <w:jc w:val="center"/>
      </w:pPr>
      <w:r>
        <w:rPr>
          <w:noProof/>
        </w:rPr>
        <w:lastRenderedPageBreak/>
        <w:drawing>
          <wp:inline distT="0" distB="0" distL="0" distR="0">
            <wp:extent cx="6496050" cy="3278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504344" cy="3282692"/>
                    </a:xfrm>
                    <a:prstGeom prst="rect">
                      <a:avLst/>
                    </a:prstGeom>
                  </pic:spPr>
                </pic:pic>
              </a:graphicData>
            </a:graphic>
          </wp:inline>
        </w:drawing>
      </w:r>
    </w:p>
    <w:p w:rsidR="00BA6D37" w:rsidRDefault="00314976">
      <w:pPr>
        <w:pStyle w:val="ab0"/>
        <w:spacing w:afterLines="0" w:line="560" w:lineRule="exact"/>
        <w:ind w:firstLineChars="0" w:firstLine="0"/>
        <w:jc w:val="center"/>
        <w:rPr>
          <w:rFonts w:ascii="仿宋" w:eastAsia="仿宋" w:hAnsi="仿宋"/>
          <w:b/>
          <w:sz w:val="24"/>
          <w:szCs w:val="24"/>
        </w:rPr>
      </w:pPr>
      <w:r>
        <w:rPr>
          <w:rFonts w:hint="eastAsia"/>
          <w:b/>
          <w:sz w:val="24"/>
          <w:szCs w:val="24"/>
        </w:rPr>
        <w:t>图</w:t>
      </w:r>
      <w:r>
        <w:rPr>
          <w:b/>
          <w:sz w:val="24"/>
          <w:szCs w:val="24"/>
        </w:rPr>
        <w:t>5</w:t>
      </w:r>
      <w:r>
        <w:rPr>
          <w:rFonts w:hint="eastAsia"/>
          <w:b/>
          <w:sz w:val="24"/>
          <w:szCs w:val="24"/>
        </w:rPr>
        <w:t>：分类标准的文件夹和文件结构</w:t>
      </w:r>
    </w:p>
    <w:p w:rsidR="00BA6D37" w:rsidRDefault="00314976">
      <w:pPr>
        <w:pStyle w:val="af3"/>
        <w:wordWrap/>
        <w:spacing w:after="0" w:line="560" w:lineRule="exact"/>
      </w:pPr>
      <w:r>
        <w:rPr>
          <w:rFonts w:cs="Times New Roman"/>
        </w:rPr>
        <w:t>1</w:t>
      </w:r>
      <w:r>
        <w:rPr>
          <w:rFonts w:cs="Times New Roman" w:hint="eastAsia"/>
        </w:rPr>
        <w:t>．</w:t>
      </w:r>
      <w:r>
        <w:rPr>
          <w:rFonts w:hint="eastAsia"/>
        </w:rPr>
        <w:t>物理结构的组织方式</w:t>
      </w:r>
    </w:p>
    <w:p w:rsidR="00BA6D37" w:rsidRDefault="00314976">
      <w:pPr>
        <w:pStyle w:val="af4"/>
        <w:wordWrap/>
        <w:spacing w:after="0" w:line="560" w:lineRule="exact"/>
      </w:pPr>
      <w:r>
        <w:rPr>
          <w:rFonts w:hint="eastAsia"/>
        </w:rPr>
        <w:t>分类标准以私募基金编报的各类报告为基础组织文件结构。相关</w:t>
      </w:r>
      <w:r>
        <w:t>的</w:t>
      </w:r>
      <w:r>
        <w:rPr>
          <w:rFonts w:hint="eastAsia"/>
        </w:rPr>
        <w:t>角色</w:t>
      </w:r>
      <w:r>
        <w:t>模式文件和链接库</w:t>
      </w:r>
      <w:r>
        <w:rPr>
          <w:rFonts w:hint="eastAsia"/>
        </w:rPr>
        <w:t>文件将</w:t>
      </w:r>
      <w:r>
        <w:t>放入相应报告类型的文件夹下。</w:t>
      </w:r>
      <w:r>
        <w:rPr>
          <w:rFonts w:hint="eastAsia"/>
        </w:rPr>
        <w:t>图</w:t>
      </w:r>
      <w:r>
        <w:rPr>
          <w:rFonts w:hint="eastAsia"/>
        </w:rPr>
        <w:t>5</w:t>
      </w:r>
      <w:r>
        <w:rPr>
          <w:rFonts w:hint="eastAsia"/>
        </w:rPr>
        <w:t>显示了分类标准各类报告文件夹及相关内容。</w:t>
      </w:r>
    </w:p>
    <w:p w:rsidR="00BA6D37" w:rsidRDefault="00314976">
      <w:pPr>
        <w:pStyle w:val="ab0"/>
        <w:spacing w:afterLines="0" w:line="240" w:lineRule="auto"/>
        <w:ind w:firstLineChars="0" w:firstLine="0"/>
        <w:jc w:val="center"/>
      </w:pPr>
      <w:r>
        <w:rPr>
          <w:noProof/>
        </w:rPr>
        <w:drawing>
          <wp:inline distT="0" distB="0" distL="0" distR="0">
            <wp:extent cx="4981575" cy="23050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4981575" cy="2305050"/>
                    </a:xfrm>
                    <a:prstGeom prst="rect">
                      <a:avLst/>
                    </a:prstGeom>
                  </pic:spPr>
                </pic:pic>
              </a:graphicData>
            </a:graphic>
          </wp:inline>
        </w:drawing>
      </w:r>
    </w:p>
    <w:p w:rsidR="00BA6D37" w:rsidRDefault="00314976">
      <w:pPr>
        <w:pStyle w:val="ab0"/>
        <w:spacing w:afterLines="0" w:line="560" w:lineRule="exact"/>
        <w:ind w:firstLineChars="0" w:firstLine="0"/>
        <w:jc w:val="center"/>
        <w:rPr>
          <w:rFonts w:ascii="仿宋" w:eastAsia="仿宋" w:hAnsi="仿宋"/>
          <w:b/>
          <w:sz w:val="24"/>
          <w:szCs w:val="24"/>
        </w:rPr>
      </w:pPr>
      <w:r>
        <w:rPr>
          <w:rFonts w:hint="eastAsia"/>
          <w:b/>
          <w:sz w:val="24"/>
          <w:szCs w:val="24"/>
        </w:rPr>
        <w:t>图</w:t>
      </w:r>
      <w:r>
        <w:rPr>
          <w:rFonts w:hint="eastAsia"/>
          <w:b/>
          <w:sz w:val="24"/>
          <w:szCs w:val="24"/>
        </w:rPr>
        <w:t>5</w:t>
      </w:r>
      <w:r>
        <w:rPr>
          <w:rFonts w:hint="eastAsia"/>
          <w:b/>
          <w:sz w:val="24"/>
          <w:szCs w:val="24"/>
        </w:rPr>
        <w:t>：分类标准各准则文件夹及其内容</w:t>
      </w:r>
    </w:p>
    <w:p w:rsidR="00BA6D37" w:rsidRDefault="00314976">
      <w:pPr>
        <w:pStyle w:val="af3"/>
        <w:wordWrap/>
        <w:spacing w:after="0" w:line="560" w:lineRule="exact"/>
      </w:pPr>
      <w:r>
        <w:rPr>
          <w:rFonts w:hint="eastAsia"/>
        </w:rPr>
        <w:t>2</w:t>
      </w:r>
      <w:r>
        <w:rPr>
          <w:rFonts w:hint="eastAsia"/>
        </w:rPr>
        <w:t>．文件夹和文件结构说明</w:t>
      </w:r>
    </w:p>
    <w:p w:rsidR="00BA6D37" w:rsidRDefault="00314976">
      <w:pPr>
        <w:pStyle w:val="af4"/>
        <w:wordWrap/>
        <w:spacing w:after="0" w:line="560" w:lineRule="exact"/>
      </w:pPr>
      <w:r>
        <w:rPr>
          <w:rFonts w:hint="eastAsia"/>
        </w:rPr>
        <w:lastRenderedPageBreak/>
        <w:t>分类标准文件夹和文件结构及其内容的具体说明如下：</w:t>
      </w:r>
    </w:p>
    <w:p w:rsidR="00BA6D37" w:rsidRDefault="00314976">
      <w:pPr>
        <w:pStyle w:val="af5"/>
        <w:wordWrap/>
        <w:spacing w:after="0" w:line="560" w:lineRule="exact"/>
      </w:pPr>
      <w:r>
        <w:rPr>
          <w:rFonts w:hint="eastAsia"/>
        </w:rPr>
        <w:t>（</w:t>
      </w:r>
      <w:r>
        <w:rPr>
          <w:rFonts w:hint="eastAsia"/>
        </w:rPr>
        <w:t>1</w:t>
      </w:r>
      <w:r>
        <w:rPr>
          <w:rFonts w:hint="eastAsia"/>
        </w:rPr>
        <w:t>）根目录</w:t>
      </w:r>
      <w:r>
        <w:t>是</w:t>
      </w:r>
      <w:r>
        <w:rPr>
          <w:rFonts w:hint="eastAsia"/>
        </w:rPr>
        <w:t>分类标准</w:t>
      </w:r>
      <w:r>
        <w:t>文件的根文件夹，以私募基金</w:t>
      </w:r>
      <w:r>
        <w:rPr>
          <w:rFonts w:hint="eastAsia"/>
        </w:rPr>
        <w:t>XBRL</w:t>
      </w:r>
      <w:r>
        <w:rPr>
          <w:rFonts w:hint="eastAsia"/>
        </w:rPr>
        <w:t>分类标准版本日期命名。</w:t>
      </w:r>
      <w:r>
        <w:t>本版</w:t>
      </w:r>
      <w:r>
        <w:rPr>
          <w:rFonts w:hint="eastAsia"/>
        </w:rPr>
        <w:t>分类标准的版本</w:t>
      </w:r>
      <w:r>
        <w:t>日期为</w:t>
      </w:r>
      <w:r>
        <w:t>2016</w:t>
      </w:r>
      <w:r>
        <w:rPr>
          <w:rFonts w:hint="eastAsia"/>
        </w:rPr>
        <w:t>年</w:t>
      </w:r>
      <w:r>
        <w:t>3</w:t>
      </w:r>
      <w:r>
        <w:rPr>
          <w:rFonts w:hint="eastAsia"/>
        </w:rPr>
        <w:t>月</w:t>
      </w:r>
      <w:r>
        <w:t>3</w:t>
      </w:r>
      <w:r>
        <w:rPr>
          <w:rFonts w:hint="eastAsia"/>
        </w:rPr>
        <w:t>1</w:t>
      </w:r>
      <w:r>
        <w:rPr>
          <w:rFonts w:hint="eastAsia"/>
        </w:rPr>
        <w:t>日</w:t>
      </w:r>
      <w:r>
        <w:t>。</w:t>
      </w:r>
    </w:p>
    <w:p w:rsidR="00BA6D37" w:rsidRDefault="00314976">
      <w:pPr>
        <w:pStyle w:val="af5"/>
        <w:wordWrap/>
        <w:spacing w:after="0" w:line="560" w:lineRule="exact"/>
      </w:pPr>
      <w:r>
        <w:rPr>
          <w:rFonts w:hint="eastAsia"/>
        </w:rPr>
        <w:t>①</w:t>
      </w:r>
      <w:r>
        <w:rPr>
          <w:rFonts w:hint="eastAsia"/>
        </w:rPr>
        <w:t xml:space="preserve"> </w:t>
      </w:r>
      <w:r>
        <w:t>amac_core_2016-03-31.xsd</w:t>
      </w:r>
      <w:r>
        <w:t>是</w:t>
      </w:r>
      <w:r>
        <w:rPr>
          <w:rFonts w:hint="eastAsia"/>
        </w:rPr>
        <w:t>分类标准</w:t>
      </w:r>
      <w:r>
        <w:t>定义</w:t>
      </w:r>
      <w:r>
        <w:rPr>
          <w:rFonts w:hint="eastAsia"/>
        </w:rPr>
        <w:t>的私募基金各类报告</w:t>
      </w:r>
      <w:r>
        <w:t>元素的核心模式文件</w:t>
      </w:r>
      <w:r>
        <w:rPr>
          <w:rFonts w:hint="eastAsia"/>
        </w:rPr>
        <w:t>，</w:t>
      </w:r>
      <w:r>
        <w:t>所有</w:t>
      </w:r>
      <w:r>
        <w:rPr>
          <w:rFonts w:hint="eastAsia"/>
        </w:rPr>
        <w:t>元素都存放在该文件中。</w:t>
      </w:r>
    </w:p>
    <w:p w:rsidR="00BA6D37" w:rsidRDefault="00314976">
      <w:pPr>
        <w:pStyle w:val="af5"/>
        <w:wordWrap/>
        <w:spacing w:after="0" w:line="560" w:lineRule="exact"/>
      </w:pPr>
      <w:r>
        <w:rPr>
          <w:rFonts w:hint="eastAsia"/>
        </w:rPr>
        <w:t>（</w:t>
      </w:r>
      <w:r>
        <w:t>2</w:t>
      </w:r>
      <w:r>
        <w:rPr>
          <w:rFonts w:hint="eastAsia"/>
        </w:rPr>
        <w:t>）</w:t>
      </w:r>
      <w:r>
        <w:t>labels</w:t>
      </w:r>
      <w:r>
        <w:t>是存放</w:t>
      </w:r>
      <w:r>
        <w:rPr>
          <w:rFonts w:hint="eastAsia"/>
        </w:rPr>
        <w:t>标签链接库</w:t>
      </w:r>
      <w:r>
        <w:t>的文件夹。</w:t>
      </w:r>
    </w:p>
    <w:p w:rsidR="00BA6D37" w:rsidRDefault="00314976">
      <w:pPr>
        <w:pStyle w:val="ab0"/>
        <w:numPr>
          <w:ilvl w:val="0"/>
          <w:numId w:val="5"/>
        </w:numPr>
        <w:spacing w:afterLines="0" w:line="560" w:lineRule="exact"/>
        <w:ind w:firstLineChars="0"/>
      </w:pPr>
      <w:r>
        <w:rPr>
          <w:szCs w:val="28"/>
        </w:rPr>
        <w:t xml:space="preserve">amac_core_2016-03-31-label.xml </w:t>
      </w:r>
      <w:r>
        <w:rPr>
          <w:szCs w:val="28"/>
        </w:rPr>
        <w:t>是核心模式文件的中文标签链接库文件</w:t>
      </w:r>
      <w:r>
        <w:rPr>
          <w:rFonts w:hint="eastAsia"/>
          <w:szCs w:val="28"/>
        </w:rPr>
        <w:t>；</w:t>
      </w:r>
    </w:p>
    <w:p w:rsidR="00BA6D37" w:rsidRDefault="00314976">
      <w:pPr>
        <w:pStyle w:val="af5"/>
        <w:wordWrap/>
        <w:spacing w:after="0" w:line="560" w:lineRule="exact"/>
        <w:rPr>
          <w:szCs w:val="28"/>
        </w:rPr>
      </w:pPr>
      <w:r>
        <w:rPr>
          <w:rFonts w:hint="eastAsia"/>
        </w:rPr>
        <w:t>（</w:t>
      </w:r>
      <w:r>
        <w:t>3</w:t>
      </w:r>
      <w:r>
        <w:rPr>
          <w:rFonts w:hint="eastAsia"/>
        </w:rPr>
        <w:t>）</w:t>
      </w:r>
      <w:bookmarkStart w:id="9" w:name="OLE_LINK18"/>
      <w:bookmarkStart w:id="10" w:name="OLE_LINK17"/>
      <w:r>
        <w:t>pf</w:t>
      </w:r>
      <w:r>
        <w:t>是存放资产管理业务综合报送平台各类报告的文件夹</w:t>
      </w:r>
      <w:bookmarkEnd w:id="9"/>
      <w:bookmarkEnd w:id="10"/>
      <w:r>
        <w:rPr>
          <w:rFonts w:hint="eastAsia"/>
        </w:rPr>
        <w:t>：</w:t>
      </w:r>
    </w:p>
    <w:p w:rsidR="00BA6D37" w:rsidRDefault="00314976">
      <w:pPr>
        <w:pStyle w:val="af6"/>
        <w:wordWrap/>
        <w:spacing w:after="0" w:line="560" w:lineRule="exact"/>
      </w:pPr>
      <w:r>
        <w:rPr>
          <w:rFonts w:hint="eastAsia"/>
        </w:rPr>
        <w:t>①</w:t>
      </w:r>
      <w:r>
        <w:rPr>
          <w:rFonts w:hint="eastAsia"/>
        </w:rPr>
        <w:t xml:space="preserve"> </w:t>
      </w:r>
      <w:r>
        <w:t>pf_amac_2016-03-31.xsd</w:t>
      </w:r>
      <w:r>
        <w:t>是</w:t>
      </w:r>
      <w:r>
        <w:rPr>
          <w:rFonts w:hint="eastAsia"/>
        </w:rPr>
        <w:t>产品运行表和产品顾问关系解除表</w:t>
      </w:r>
      <w:r>
        <w:t>的</w:t>
      </w:r>
      <w:r>
        <w:rPr>
          <w:rFonts w:hint="eastAsia"/>
        </w:rPr>
        <w:t>入口模式文件，产品运行表和产品顾问关系解除表应基于</w:t>
      </w:r>
      <w:r>
        <w:t>该文件编制报送</w:t>
      </w:r>
      <w:r>
        <w:rPr>
          <w:rFonts w:hint="eastAsia"/>
        </w:rPr>
        <w:t>实例</w:t>
      </w:r>
      <w:r>
        <w:t>文档</w:t>
      </w:r>
      <w:r>
        <w:rPr>
          <w:rFonts w:hint="eastAsia"/>
        </w:rPr>
        <w:t>。</w:t>
      </w:r>
    </w:p>
    <w:p w:rsidR="00BA6D37" w:rsidRDefault="00314976">
      <w:pPr>
        <w:pStyle w:val="af6"/>
        <w:wordWrap/>
        <w:spacing w:after="0" w:line="560" w:lineRule="exact"/>
      </w:pPr>
      <w:r>
        <w:rPr>
          <w:rFonts w:hint="eastAsia"/>
        </w:rPr>
        <w:t>②</w:t>
      </w:r>
      <w:r>
        <w:rPr>
          <w:rFonts w:hint="eastAsia"/>
        </w:rPr>
        <w:t xml:space="preserve"> </w:t>
      </w:r>
      <w:r>
        <w:t>pf_ar_amac_2016-03-31.xsd</w:t>
      </w:r>
      <w:r>
        <w:rPr>
          <w:rFonts w:hint="eastAsia"/>
        </w:rPr>
        <w:t>是年度财务检测报告</w:t>
      </w:r>
      <w:r>
        <w:t>的</w:t>
      </w:r>
      <w:r>
        <w:rPr>
          <w:rFonts w:hint="eastAsia"/>
        </w:rPr>
        <w:t>入口模式文件，年度财务检测报告应基于</w:t>
      </w:r>
      <w:r>
        <w:t>该文件编制报送</w:t>
      </w:r>
      <w:r>
        <w:rPr>
          <w:rFonts w:hint="eastAsia"/>
        </w:rPr>
        <w:t>实例</w:t>
      </w:r>
      <w:r>
        <w:t>文档</w:t>
      </w:r>
      <w:r>
        <w:rPr>
          <w:rFonts w:hint="eastAsia"/>
        </w:rPr>
        <w:t>。</w:t>
      </w:r>
    </w:p>
    <w:p w:rsidR="00BA6D37" w:rsidRDefault="00314976">
      <w:pPr>
        <w:pStyle w:val="af6"/>
        <w:wordWrap/>
        <w:spacing w:after="0" w:line="560" w:lineRule="exact"/>
      </w:pPr>
      <w:r>
        <w:rPr>
          <w:rFonts w:hint="eastAsia"/>
        </w:rPr>
        <w:t>③</w:t>
      </w:r>
      <w:r>
        <w:rPr>
          <w:rFonts w:hint="eastAsia"/>
        </w:rPr>
        <w:t xml:space="preserve"> </w:t>
      </w:r>
      <w:r>
        <w:t>pf_liquidation_2017-07-31.xsd</w:t>
      </w:r>
      <w:r>
        <w:t>是</w:t>
      </w:r>
      <w:r>
        <w:rPr>
          <w:rFonts w:hint="eastAsia"/>
        </w:rPr>
        <w:t>产品清算</w:t>
      </w:r>
      <w:r>
        <w:t>的</w:t>
      </w:r>
      <w:r>
        <w:rPr>
          <w:rFonts w:hint="eastAsia"/>
        </w:rPr>
        <w:t>入口模式文件，产品清算应基于</w:t>
      </w:r>
      <w:r>
        <w:t>该文件编制报送</w:t>
      </w:r>
      <w:r>
        <w:rPr>
          <w:rFonts w:hint="eastAsia"/>
        </w:rPr>
        <w:t>实例</w:t>
      </w:r>
      <w:r>
        <w:t>文档</w:t>
      </w:r>
      <w:r>
        <w:rPr>
          <w:rFonts w:hint="eastAsia"/>
        </w:rPr>
        <w:t>。</w:t>
      </w:r>
    </w:p>
    <w:p w:rsidR="00112914" w:rsidRDefault="00112914">
      <w:pPr>
        <w:pStyle w:val="af6"/>
        <w:wordWrap/>
        <w:spacing w:after="0" w:line="560" w:lineRule="exact"/>
      </w:pPr>
      <w:r>
        <w:rPr>
          <w:rFonts w:hint="eastAsia"/>
        </w:rPr>
        <w:t>④</w:t>
      </w:r>
      <w:r w:rsidR="003F5130">
        <w:rPr>
          <w:rFonts w:hint="eastAsia"/>
        </w:rPr>
        <w:t xml:space="preserve"> </w:t>
      </w:r>
      <w:r w:rsidR="003F5130" w:rsidRPr="003F5130">
        <w:t>pf_qmmr_amac_2016-03-31.xsd</w:t>
      </w:r>
      <w:r w:rsidR="003F5130">
        <w:t>是量化私募基金运行报表的</w:t>
      </w:r>
      <w:r w:rsidR="003F5130">
        <w:rPr>
          <w:rFonts w:hint="eastAsia"/>
        </w:rPr>
        <w:t>入口模式文件，</w:t>
      </w:r>
      <w:r w:rsidR="003F5130">
        <w:t>量化私募基金运行报表</w:t>
      </w:r>
      <w:r w:rsidR="003F5130">
        <w:rPr>
          <w:rFonts w:hint="eastAsia"/>
        </w:rPr>
        <w:t>应基于</w:t>
      </w:r>
      <w:r w:rsidR="003F5130">
        <w:t>该文件编制报送</w:t>
      </w:r>
      <w:r w:rsidR="003F5130">
        <w:rPr>
          <w:rFonts w:hint="eastAsia"/>
        </w:rPr>
        <w:t>实例</w:t>
      </w:r>
      <w:r w:rsidR="003F5130">
        <w:t>文档</w:t>
      </w:r>
      <w:r w:rsidR="003F5130">
        <w:rPr>
          <w:rFonts w:hint="eastAsia"/>
        </w:rPr>
        <w:t>。</w:t>
      </w:r>
    </w:p>
    <w:p w:rsidR="00CC703C" w:rsidRDefault="00CC703C">
      <w:pPr>
        <w:pStyle w:val="af6"/>
        <w:wordWrap/>
        <w:spacing w:after="0" w:line="560" w:lineRule="exact"/>
      </w:pPr>
      <w:r>
        <w:rPr>
          <w:rFonts w:ascii="宋体" w:eastAsia="宋体" w:hAnsi="宋体" w:cs="宋体" w:hint="eastAsia"/>
        </w:rPr>
        <w:t xml:space="preserve">⑤ </w:t>
      </w:r>
      <w:r w:rsidRPr="00CC703C">
        <w:t>pf_assmr_amac_2016-03-31.xsd</w:t>
      </w:r>
      <w:r>
        <w:t>是</w:t>
      </w:r>
      <w:r w:rsidRPr="00CC703C">
        <w:rPr>
          <w:rFonts w:hint="eastAsia"/>
        </w:rPr>
        <w:t>规模以上证券类管理人报表</w:t>
      </w:r>
      <w:r>
        <w:t>的</w:t>
      </w:r>
      <w:r>
        <w:rPr>
          <w:rFonts w:hint="eastAsia"/>
        </w:rPr>
        <w:t>入口模式文件，规模以上证券类管理人报表应基于</w:t>
      </w:r>
      <w:r>
        <w:t>该文件编制报送</w:t>
      </w:r>
      <w:r>
        <w:rPr>
          <w:rFonts w:hint="eastAsia"/>
        </w:rPr>
        <w:t>实例</w:t>
      </w:r>
      <w:r>
        <w:t>文档</w:t>
      </w:r>
      <w:r>
        <w:rPr>
          <w:rFonts w:hint="eastAsia"/>
        </w:rPr>
        <w:t>。</w:t>
      </w:r>
    </w:p>
    <w:p w:rsidR="00BA6D37" w:rsidRDefault="00314976">
      <w:pPr>
        <w:pStyle w:val="af5"/>
        <w:wordWrap/>
        <w:spacing w:after="0" w:line="560" w:lineRule="exact"/>
        <w:ind w:left="420" w:firstLineChars="0" w:firstLine="0"/>
      </w:pPr>
      <w:bookmarkStart w:id="11" w:name="OLE_LINK22"/>
      <w:bookmarkStart w:id="12" w:name="OLE_LINK21"/>
      <w:r>
        <w:rPr>
          <w:rFonts w:hint="eastAsia"/>
        </w:rPr>
        <w:t>（</w:t>
      </w:r>
      <w:r>
        <w:rPr>
          <w:rFonts w:hint="eastAsia"/>
        </w:rPr>
        <w:t>5</w:t>
      </w:r>
      <w:r>
        <w:rPr>
          <w:rFonts w:hint="eastAsia"/>
        </w:rPr>
        <w:t>）</w:t>
      </w:r>
      <w:r>
        <w:t>rd</w:t>
      </w:r>
      <w:r>
        <w:rPr>
          <w:rFonts w:hint="eastAsia"/>
        </w:rPr>
        <w:t>是</w:t>
      </w:r>
      <w:r>
        <w:t>存放信息披露报告的文件夹，其中包含文件夹和文件如下：</w:t>
      </w:r>
    </w:p>
    <w:p w:rsidR="00BA6D37" w:rsidRDefault="00314976">
      <w:pPr>
        <w:pStyle w:val="af5"/>
        <w:wordWrap/>
        <w:spacing w:after="0" w:line="560" w:lineRule="exact"/>
        <w:ind w:firstLineChars="150" w:firstLine="420"/>
      </w:pPr>
      <w:r>
        <w:rPr>
          <w:rFonts w:hint="eastAsia"/>
        </w:rPr>
        <w:t>①</w:t>
      </w:r>
      <w:r>
        <w:rPr>
          <w:rFonts w:hint="eastAsia"/>
        </w:rPr>
        <w:t xml:space="preserve"> </w:t>
      </w:r>
      <w:r>
        <w:t>ar</w:t>
      </w:r>
      <w:r>
        <w:t>是存放信息披露年度报告的文件夹，</w:t>
      </w:r>
      <w:r>
        <w:t>ar_amac_2016-03-31.xsd</w:t>
      </w:r>
      <w:r>
        <w:t>是信息披露年度报告的</w:t>
      </w:r>
      <w:r>
        <w:rPr>
          <w:rFonts w:hint="eastAsia"/>
        </w:rPr>
        <w:t>入口模式文件，</w:t>
      </w:r>
      <w:r>
        <w:t>信息披露年度报告</w:t>
      </w:r>
      <w:r>
        <w:rPr>
          <w:rFonts w:hint="eastAsia"/>
        </w:rPr>
        <w:t>应基于</w:t>
      </w:r>
      <w:r>
        <w:t>该文件编制报送</w:t>
      </w:r>
      <w:r>
        <w:rPr>
          <w:rFonts w:hint="eastAsia"/>
        </w:rPr>
        <w:t>实例</w:t>
      </w:r>
      <w:r>
        <w:t>文档</w:t>
      </w:r>
      <w:r>
        <w:rPr>
          <w:rFonts w:hint="eastAsia"/>
        </w:rPr>
        <w:t>。</w:t>
      </w:r>
    </w:p>
    <w:p w:rsidR="00BA6D37" w:rsidRDefault="00314976">
      <w:pPr>
        <w:pStyle w:val="af5"/>
        <w:wordWrap/>
        <w:spacing w:after="0" w:line="560" w:lineRule="exact"/>
        <w:ind w:firstLineChars="150" w:firstLine="420"/>
      </w:pPr>
      <w:r>
        <w:rPr>
          <w:rFonts w:hint="eastAsia"/>
        </w:rPr>
        <w:lastRenderedPageBreak/>
        <w:t>②</w:t>
      </w:r>
      <w:r>
        <w:rPr>
          <w:rFonts w:hint="eastAsia"/>
        </w:rPr>
        <w:t xml:space="preserve"> </w:t>
      </w:r>
      <w:r>
        <w:t>mr</w:t>
      </w:r>
      <w:r>
        <w:t>是存放信息披露月度报告的文件夹，</w:t>
      </w:r>
      <w:r>
        <w:t>mr_amac_2016-03-31.xsd</w:t>
      </w:r>
      <w:r>
        <w:t>是信息披露月度报告的</w:t>
      </w:r>
      <w:r>
        <w:rPr>
          <w:rFonts w:hint="eastAsia"/>
        </w:rPr>
        <w:t>入口模式文件，</w:t>
      </w:r>
      <w:r>
        <w:t>信息披露月度报告</w:t>
      </w:r>
      <w:r>
        <w:rPr>
          <w:rFonts w:hint="eastAsia"/>
        </w:rPr>
        <w:t>应基于</w:t>
      </w:r>
      <w:r>
        <w:t>该文件编制报送</w:t>
      </w:r>
      <w:r>
        <w:rPr>
          <w:rFonts w:hint="eastAsia"/>
        </w:rPr>
        <w:t>实例</w:t>
      </w:r>
      <w:r>
        <w:t>文档</w:t>
      </w:r>
      <w:r>
        <w:rPr>
          <w:rFonts w:hint="eastAsia"/>
        </w:rPr>
        <w:t>。</w:t>
      </w:r>
    </w:p>
    <w:p w:rsidR="00BA6D37" w:rsidRDefault="00314976">
      <w:pPr>
        <w:pStyle w:val="af6"/>
        <w:wordWrap/>
        <w:spacing w:after="0" w:line="560" w:lineRule="exact"/>
      </w:pPr>
      <w:r>
        <w:rPr>
          <w:rFonts w:hint="eastAsia"/>
        </w:rPr>
        <w:t>③</w:t>
      </w:r>
      <w:r>
        <w:rPr>
          <w:rFonts w:hint="eastAsia"/>
        </w:rPr>
        <w:t xml:space="preserve"> </w:t>
      </w:r>
      <w:r>
        <w:t>qr</w:t>
      </w:r>
      <w:r>
        <w:t>是存放信息披露</w:t>
      </w:r>
      <w:r>
        <w:rPr>
          <w:rFonts w:hint="eastAsia"/>
        </w:rPr>
        <w:t>季</w:t>
      </w:r>
      <w:r>
        <w:t>度报告的文件夹，</w:t>
      </w:r>
      <w:r>
        <w:t>qr_amac_2016-03-31.xsd</w:t>
      </w:r>
      <w:r>
        <w:t>是信息披露</w:t>
      </w:r>
      <w:r>
        <w:rPr>
          <w:rFonts w:hint="eastAsia"/>
        </w:rPr>
        <w:t>季</w:t>
      </w:r>
      <w:r>
        <w:t>度报告的</w:t>
      </w:r>
      <w:r>
        <w:rPr>
          <w:rFonts w:hint="eastAsia"/>
        </w:rPr>
        <w:t>入口模式文件，</w:t>
      </w:r>
      <w:r>
        <w:t>信息披露</w:t>
      </w:r>
      <w:r>
        <w:rPr>
          <w:rFonts w:hint="eastAsia"/>
        </w:rPr>
        <w:t>季</w:t>
      </w:r>
      <w:r>
        <w:t>度报告</w:t>
      </w:r>
      <w:r>
        <w:rPr>
          <w:rFonts w:hint="eastAsia"/>
        </w:rPr>
        <w:t>应基于</w:t>
      </w:r>
      <w:r>
        <w:t>该文件编制报送</w:t>
      </w:r>
      <w:r>
        <w:rPr>
          <w:rFonts w:hint="eastAsia"/>
        </w:rPr>
        <w:t>实例</w:t>
      </w:r>
      <w:r>
        <w:t>文档</w:t>
      </w:r>
      <w:r>
        <w:rPr>
          <w:rFonts w:hint="eastAsia"/>
        </w:rPr>
        <w:t>。</w:t>
      </w:r>
    </w:p>
    <w:p w:rsidR="00BA6D37" w:rsidRDefault="00314976">
      <w:pPr>
        <w:pStyle w:val="af6"/>
        <w:wordWrap/>
        <w:spacing w:after="0" w:line="560" w:lineRule="exact"/>
      </w:pPr>
      <w:r>
        <w:rPr>
          <w:rFonts w:hint="eastAsia"/>
        </w:rPr>
        <w:t>④</w:t>
      </w:r>
      <w:r>
        <w:rPr>
          <w:rFonts w:hint="eastAsia"/>
        </w:rPr>
        <w:t xml:space="preserve"> </w:t>
      </w:r>
      <w:r>
        <w:t>sar</w:t>
      </w:r>
      <w:r>
        <w:t>是存放信息披露</w:t>
      </w:r>
      <w:r>
        <w:rPr>
          <w:rFonts w:hint="eastAsia"/>
        </w:rPr>
        <w:t>半年</w:t>
      </w:r>
      <w:r>
        <w:t>度报告的文件夹，</w:t>
      </w:r>
      <w:r>
        <w:t>sar_amac_2016-03-31.xsd</w:t>
      </w:r>
      <w:r>
        <w:t>是信息披露</w:t>
      </w:r>
      <w:r>
        <w:rPr>
          <w:rFonts w:hint="eastAsia"/>
        </w:rPr>
        <w:t>半年</w:t>
      </w:r>
      <w:r>
        <w:t>度报告的</w:t>
      </w:r>
      <w:r>
        <w:rPr>
          <w:rFonts w:hint="eastAsia"/>
        </w:rPr>
        <w:t>入口模式文件，</w:t>
      </w:r>
      <w:r>
        <w:t>信息披露</w:t>
      </w:r>
      <w:r>
        <w:rPr>
          <w:rFonts w:hint="eastAsia"/>
        </w:rPr>
        <w:t>半年</w:t>
      </w:r>
      <w:r>
        <w:t>度报告</w:t>
      </w:r>
      <w:r>
        <w:rPr>
          <w:rFonts w:hint="eastAsia"/>
        </w:rPr>
        <w:t>应基于</w:t>
      </w:r>
      <w:r>
        <w:t>该文件编制报送</w:t>
      </w:r>
      <w:r>
        <w:rPr>
          <w:rFonts w:hint="eastAsia"/>
        </w:rPr>
        <w:t>实例</w:t>
      </w:r>
      <w:r>
        <w:t>文档</w:t>
      </w:r>
      <w:r>
        <w:rPr>
          <w:rFonts w:hint="eastAsia"/>
        </w:rPr>
        <w:t>。</w:t>
      </w:r>
    </w:p>
    <w:bookmarkEnd w:id="11"/>
    <w:bookmarkEnd w:id="12"/>
    <w:p w:rsidR="00BA6D37" w:rsidRDefault="00314976">
      <w:pPr>
        <w:pStyle w:val="af3"/>
        <w:wordWrap/>
        <w:spacing w:after="0" w:line="560" w:lineRule="exact"/>
      </w:pPr>
      <w:r>
        <w:rPr>
          <w:rFonts w:cs="Times New Roman"/>
        </w:rPr>
        <w:t>3</w:t>
      </w:r>
      <w:r>
        <w:rPr>
          <w:rFonts w:cs="Times New Roman" w:hint="eastAsia"/>
        </w:rPr>
        <w:t>．</w:t>
      </w:r>
      <w:r>
        <w:rPr>
          <w:rFonts w:hint="eastAsia"/>
        </w:rPr>
        <w:t>绝对路径和相对路径</w:t>
      </w:r>
    </w:p>
    <w:p w:rsidR="00BA6D37" w:rsidRDefault="00314976">
      <w:pPr>
        <w:pStyle w:val="af4"/>
        <w:wordWrap/>
        <w:spacing w:after="0" w:line="560" w:lineRule="exact"/>
      </w:pPr>
      <w:r>
        <w:rPr>
          <w:rFonts w:hint="eastAsia"/>
        </w:rPr>
        <w:t>为便于使用者定位分类标准中的模式文件和链接库等文件，分类标准采用了绝对路径和相对路径两种定位方式。分类标准对</w:t>
      </w:r>
      <w:bookmarkStart w:id="13" w:name="OLE_LINK39"/>
      <w:bookmarkStart w:id="14" w:name="OLE_LINK40"/>
      <w:r>
        <w:rPr>
          <w:rFonts w:hint="eastAsia"/>
        </w:rPr>
        <w:t>XBRL</w:t>
      </w:r>
      <w:r>
        <w:rPr>
          <w:rFonts w:hint="eastAsia"/>
        </w:rPr>
        <w:t>标准数据类型</w:t>
      </w:r>
      <w:bookmarkEnd w:id="13"/>
      <w:bookmarkEnd w:id="14"/>
      <w:r>
        <w:rPr>
          <w:rFonts w:hint="eastAsia"/>
        </w:rPr>
        <w:t>的引用，采用绝对路径引用的方式，直接指向国际</w:t>
      </w:r>
      <w:r>
        <w:rPr>
          <w:rFonts w:hint="eastAsia"/>
        </w:rPr>
        <w:t>XBRL</w:t>
      </w:r>
      <w:r>
        <w:rPr>
          <w:rFonts w:hint="eastAsia"/>
        </w:rPr>
        <w:t>技术规范；分类标准内部各部分之间的引用，采用较为便捷的相对路径的方式，无须过多考虑文件的存储位置。</w:t>
      </w:r>
    </w:p>
    <w:p w:rsidR="00BA6D37" w:rsidRDefault="00314976">
      <w:pPr>
        <w:pStyle w:val="af4"/>
        <w:wordWrap/>
        <w:spacing w:after="0" w:line="560" w:lineRule="exact"/>
      </w:pPr>
      <w:r>
        <w:rPr>
          <w:rFonts w:hint="eastAsia"/>
        </w:rPr>
        <w:t>绝对路径的形式如下：“统一资源标识符（</w:t>
      </w:r>
      <w:r>
        <w:t>URI</w:t>
      </w:r>
      <w:r>
        <w:rPr>
          <w:rFonts w:hint="eastAsia"/>
        </w:rPr>
        <w:t>）</w:t>
      </w:r>
      <w:r>
        <w:t>+</w:t>
      </w:r>
      <w:r>
        <w:rPr>
          <w:rFonts w:hint="eastAsia"/>
        </w:rPr>
        <w:t>被引用的文件路径”。例如，要定位</w:t>
      </w:r>
      <w:r>
        <w:rPr>
          <w:rFonts w:hint="eastAsia"/>
        </w:rPr>
        <w:t>XBRL</w:t>
      </w:r>
      <w:r>
        <w:rPr>
          <w:rFonts w:hint="eastAsia"/>
        </w:rPr>
        <w:t>标准数据类型，其路径为：</w:t>
      </w:r>
    </w:p>
    <w:p w:rsidR="00BA6D37" w:rsidRDefault="00314976">
      <w:pPr>
        <w:pStyle w:val="af4"/>
        <w:wordWrap/>
        <w:spacing w:after="0" w:line="560" w:lineRule="exact"/>
      </w:pPr>
      <w:r>
        <w:t xml:space="preserve">http://www.xbrl.org/dtr/type/numeric-2009-12-16.xsd </w:t>
      </w:r>
    </w:p>
    <w:p w:rsidR="00BA6D37" w:rsidRDefault="00314976">
      <w:pPr>
        <w:pStyle w:val="af4"/>
        <w:wordWrap/>
        <w:spacing w:after="0" w:line="560" w:lineRule="exact"/>
      </w:pPr>
      <w:r>
        <w:rPr>
          <w:rFonts w:hint="eastAsia"/>
        </w:rPr>
        <w:t>相对路径以分类标准入口模式文件所在目录为当前目录。表</w:t>
      </w:r>
      <w:r>
        <w:rPr>
          <w:rFonts w:hint="eastAsia"/>
        </w:rPr>
        <w:t>8</w:t>
      </w:r>
      <w:r>
        <w:rPr>
          <w:rFonts w:hint="eastAsia"/>
        </w:rPr>
        <w:t>列举了部分分类标准文件的相对路径：</w:t>
      </w:r>
    </w:p>
    <w:p w:rsidR="00BA6D37" w:rsidRDefault="00314976">
      <w:pPr>
        <w:pStyle w:val="af4"/>
        <w:wordWrap/>
        <w:spacing w:after="0" w:line="560" w:lineRule="exact"/>
        <w:ind w:firstLineChars="0" w:firstLine="0"/>
        <w:jc w:val="center"/>
        <w:rPr>
          <w:b/>
          <w:sz w:val="24"/>
          <w:szCs w:val="24"/>
        </w:rPr>
      </w:pPr>
      <w:r>
        <w:rPr>
          <w:rFonts w:hint="eastAsia"/>
          <w:b/>
          <w:sz w:val="24"/>
          <w:szCs w:val="24"/>
        </w:rPr>
        <w:t>表</w:t>
      </w:r>
      <w:r>
        <w:rPr>
          <w:rFonts w:hint="eastAsia"/>
          <w:b/>
          <w:sz w:val="24"/>
          <w:szCs w:val="24"/>
        </w:rPr>
        <w:t>8</w:t>
      </w:r>
      <w:r>
        <w:rPr>
          <w:rFonts w:hint="eastAsia"/>
          <w:b/>
          <w:sz w:val="24"/>
          <w:szCs w:val="24"/>
        </w:rPr>
        <w:t>：分类标准文件的相对路径举例</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981"/>
        <w:gridCol w:w="4982"/>
      </w:tblGrid>
      <w:tr w:rsidR="00BA6D37">
        <w:trPr>
          <w:trHeight w:val="613"/>
          <w:tblHeader/>
          <w:jc w:val="center"/>
        </w:trPr>
        <w:tc>
          <w:tcPr>
            <w:tcW w:w="4981" w:type="dxa"/>
            <w:shd w:val="clear" w:color="auto" w:fill="auto"/>
            <w:vAlign w:val="center"/>
          </w:tcPr>
          <w:p w:rsidR="00BA6D37" w:rsidRDefault="00314976">
            <w:pPr>
              <w:pStyle w:val="ab0"/>
              <w:spacing w:beforeLines="100" w:before="240" w:afterLines="0" w:after="120" w:line="240" w:lineRule="auto"/>
              <w:ind w:firstLineChars="0" w:firstLine="0"/>
              <w:jc w:val="center"/>
              <w:rPr>
                <w:b/>
                <w:sz w:val="24"/>
                <w:szCs w:val="24"/>
              </w:rPr>
            </w:pPr>
            <w:r>
              <w:rPr>
                <w:rFonts w:hint="eastAsia"/>
                <w:b/>
                <w:sz w:val="24"/>
                <w:szCs w:val="24"/>
              </w:rPr>
              <w:t>文件名</w:t>
            </w:r>
          </w:p>
        </w:tc>
        <w:tc>
          <w:tcPr>
            <w:tcW w:w="4982" w:type="dxa"/>
            <w:shd w:val="clear" w:color="auto" w:fill="auto"/>
            <w:vAlign w:val="center"/>
          </w:tcPr>
          <w:p w:rsidR="00BA6D37" w:rsidRDefault="00314976">
            <w:pPr>
              <w:pStyle w:val="ab0"/>
              <w:spacing w:beforeLines="100" w:before="240" w:afterLines="0" w:after="120" w:line="240" w:lineRule="auto"/>
              <w:ind w:firstLineChars="0" w:firstLine="0"/>
              <w:jc w:val="center"/>
              <w:rPr>
                <w:b/>
                <w:sz w:val="24"/>
                <w:szCs w:val="24"/>
              </w:rPr>
            </w:pPr>
            <w:r>
              <w:rPr>
                <w:rFonts w:hint="eastAsia"/>
                <w:b/>
                <w:sz w:val="24"/>
                <w:szCs w:val="24"/>
              </w:rPr>
              <w:t>文件的相对路径</w:t>
            </w:r>
          </w:p>
        </w:tc>
      </w:tr>
      <w:tr w:rsidR="00BA6D37">
        <w:trPr>
          <w:trHeight w:val="737"/>
          <w:jc w:val="center"/>
        </w:trPr>
        <w:tc>
          <w:tcPr>
            <w:tcW w:w="4981" w:type="dxa"/>
            <w:shd w:val="clear" w:color="auto" w:fill="auto"/>
            <w:vAlign w:val="center"/>
          </w:tcPr>
          <w:p w:rsidR="00BA6D37" w:rsidRDefault="00314976">
            <w:pPr>
              <w:pStyle w:val="ab0"/>
              <w:spacing w:afterLines="0" w:after="0" w:line="240" w:lineRule="auto"/>
              <w:ind w:firstLineChars="0" w:firstLine="0"/>
              <w:jc w:val="both"/>
              <w:rPr>
                <w:sz w:val="24"/>
                <w:szCs w:val="24"/>
              </w:rPr>
            </w:pPr>
            <w:r>
              <w:rPr>
                <w:rFonts w:hint="eastAsia"/>
                <w:sz w:val="24"/>
                <w:szCs w:val="24"/>
              </w:rPr>
              <w:t>产品运行表入口模式文件：</w:t>
            </w:r>
          </w:p>
          <w:p w:rsidR="00BA6D37" w:rsidRDefault="00314976">
            <w:pPr>
              <w:pStyle w:val="ab0"/>
              <w:spacing w:afterLines="0" w:after="0" w:line="240" w:lineRule="auto"/>
              <w:ind w:firstLineChars="0" w:firstLine="0"/>
              <w:jc w:val="both"/>
              <w:rPr>
                <w:sz w:val="24"/>
                <w:szCs w:val="24"/>
              </w:rPr>
            </w:pPr>
            <w:r>
              <w:rPr>
                <w:sz w:val="24"/>
                <w:szCs w:val="24"/>
              </w:rPr>
              <w:t>pf_amac_2016-03-31.xsd</w:t>
            </w:r>
          </w:p>
        </w:tc>
        <w:tc>
          <w:tcPr>
            <w:tcW w:w="4982" w:type="dxa"/>
            <w:shd w:val="clear" w:color="auto" w:fill="auto"/>
            <w:vAlign w:val="center"/>
          </w:tcPr>
          <w:p w:rsidR="00BA6D37" w:rsidRDefault="00314976">
            <w:pPr>
              <w:pStyle w:val="ab0"/>
              <w:spacing w:afterLines="0" w:after="0" w:line="240" w:lineRule="auto"/>
              <w:ind w:firstLineChars="0" w:firstLine="0"/>
              <w:jc w:val="both"/>
              <w:rPr>
                <w:sz w:val="24"/>
                <w:szCs w:val="24"/>
              </w:rPr>
            </w:pPr>
            <w:r>
              <w:rPr>
                <w:sz w:val="24"/>
                <w:szCs w:val="24"/>
              </w:rPr>
              <w:t>pf/ pf_amac_2016-03-31.xsd</w:t>
            </w:r>
          </w:p>
        </w:tc>
      </w:tr>
      <w:tr w:rsidR="00BA6D37">
        <w:trPr>
          <w:trHeight w:val="737"/>
          <w:jc w:val="center"/>
        </w:trPr>
        <w:tc>
          <w:tcPr>
            <w:tcW w:w="4981" w:type="dxa"/>
            <w:shd w:val="clear" w:color="auto" w:fill="auto"/>
            <w:vAlign w:val="center"/>
          </w:tcPr>
          <w:p w:rsidR="00BA6D37" w:rsidRDefault="00314976">
            <w:pPr>
              <w:pStyle w:val="ab0"/>
              <w:spacing w:afterLines="0" w:after="0" w:line="240" w:lineRule="auto"/>
              <w:ind w:firstLineChars="0" w:firstLine="0"/>
              <w:jc w:val="both"/>
              <w:rPr>
                <w:sz w:val="24"/>
                <w:szCs w:val="24"/>
              </w:rPr>
            </w:pPr>
            <w:r>
              <w:rPr>
                <w:sz w:val="24"/>
                <w:szCs w:val="24"/>
              </w:rPr>
              <w:t>信息披露年度报告</w:t>
            </w:r>
            <w:r>
              <w:rPr>
                <w:rFonts w:hint="eastAsia"/>
                <w:sz w:val="24"/>
                <w:szCs w:val="24"/>
              </w:rPr>
              <w:t>的列报链接库文件：</w:t>
            </w:r>
          </w:p>
          <w:p w:rsidR="00BA6D37" w:rsidRDefault="00314976">
            <w:pPr>
              <w:pStyle w:val="ab0"/>
              <w:spacing w:afterLines="0" w:after="0" w:line="240" w:lineRule="auto"/>
              <w:ind w:firstLineChars="0" w:firstLine="0"/>
              <w:jc w:val="both"/>
              <w:rPr>
                <w:sz w:val="24"/>
                <w:szCs w:val="24"/>
              </w:rPr>
            </w:pPr>
            <w:r>
              <w:rPr>
                <w:sz w:val="24"/>
                <w:szCs w:val="24"/>
              </w:rPr>
              <w:t>ar_amac_2016-03-31-presentation.xml</w:t>
            </w:r>
          </w:p>
        </w:tc>
        <w:tc>
          <w:tcPr>
            <w:tcW w:w="4982" w:type="dxa"/>
            <w:shd w:val="clear" w:color="auto" w:fill="auto"/>
            <w:vAlign w:val="center"/>
          </w:tcPr>
          <w:p w:rsidR="00BA6D37" w:rsidRDefault="00314976">
            <w:pPr>
              <w:pStyle w:val="ab0"/>
              <w:spacing w:afterLines="0" w:after="0" w:line="240" w:lineRule="auto"/>
              <w:ind w:firstLineChars="0" w:firstLine="0"/>
              <w:jc w:val="both"/>
              <w:rPr>
                <w:sz w:val="24"/>
                <w:szCs w:val="24"/>
              </w:rPr>
            </w:pPr>
            <w:r>
              <w:rPr>
                <w:rFonts w:hint="eastAsia"/>
                <w:sz w:val="24"/>
                <w:szCs w:val="24"/>
              </w:rPr>
              <w:t>rd</w:t>
            </w:r>
            <w:r>
              <w:rPr>
                <w:sz w:val="24"/>
                <w:szCs w:val="24"/>
              </w:rPr>
              <w:t>/</w:t>
            </w:r>
            <w:r>
              <w:rPr>
                <w:rFonts w:hint="eastAsia"/>
                <w:sz w:val="24"/>
                <w:szCs w:val="24"/>
              </w:rPr>
              <w:t>ar/</w:t>
            </w:r>
            <w:r>
              <w:rPr>
                <w:sz w:val="24"/>
                <w:szCs w:val="24"/>
              </w:rPr>
              <w:t xml:space="preserve"> ar_amac_2016-03-31-presentation.xml</w:t>
            </w:r>
          </w:p>
        </w:tc>
      </w:tr>
      <w:tr w:rsidR="00BA6D37">
        <w:trPr>
          <w:trHeight w:val="737"/>
          <w:jc w:val="center"/>
        </w:trPr>
        <w:tc>
          <w:tcPr>
            <w:tcW w:w="4981" w:type="dxa"/>
            <w:shd w:val="clear" w:color="auto" w:fill="auto"/>
            <w:vAlign w:val="center"/>
          </w:tcPr>
          <w:p w:rsidR="00BA6D37" w:rsidRDefault="00314976">
            <w:pPr>
              <w:pStyle w:val="ab0"/>
              <w:spacing w:afterLines="0" w:after="0" w:line="240" w:lineRule="auto"/>
              <w:ind w:firstLineChars="0" w:firstLine="0"/>
              <w:jc w:val="both"/>
              <w:rPr>
                <w:sz w:val="24"/>
                <w:szCs w:val="24"/>
              </w:rPr>
            </w:pPr>
            <w:r>
              <w:rPr>
                <w:rFonts w:hint="eastAsia"/>
                <w:sz w:val="24"/>
                <w:szCs w:val="24"/>
              </w:rPr>
              <w:lastRenderedPageBreak/>
              <w:t>核心文件标签链接库文件：</w:t>
            </w:r>
          </w:p>
          <w:p w:rsidR="00BA6D37" w:rsidRDefault="00314976">
            <w:pPr>
              <w:pStyle w:val="ab0"/>
              <w:spacing w:afterLines="0" w:after="0" w:line="240" w:lineRule="auto"/>
              <w:ind w:firstLineChars="0" w:firstLine="0"/>
              <w:jc w:val="both"/>
              <w:rPr>
                <w:sz w:val="24"/>
                <w:szCs w:val="24"/>
              </w:rPr>
            </w:pPr>
            <w:r>
              <w:rPr>
                <w:sz w:val="24"/>
                <w:szCs w:val="24"/>
              </w:rPr>
              <w:t>amac_core_2016-03-31-label.xml</w:t>
            </w:r>
          </w:p>
        </w:tc>
        <w:tc>
          <w:tcPr>
            <w:tcW w:w="4982" w:type="dxa"/>
            <w:shd w:val="clear" w:color="auto" w:fill="auto"/>
            <w:vAlign w:val="center"/>
          </w:tcPr>
          <w:p w:rsidR="00BA6D37" w:rsidRDefault="00314976">
            <w:pPr>
              <w:pStyle w:val="ab0"/>
              <w:spacing w:afterLines="0" w:after="0" w:line="240" w:lineRule="auto"/>
              <w:ind w:firstLineChars="0" w:firstLine="0"/>
              <w:jc w:val="both"/>
              <w:rPr>
                <w:sz w:val="24"/>
                <w:szCs w:val="24"/>
              </w:rPr>
            </w:pPr>
            <w:r>
              <w:rPr>
                <w:rFonts w:hint="eastAsia"/>
                <w:sz w:val="24"/>
                <w:szCs w:val="24"/>
              </w:rPr>
              <w:t>labels/</w:t>
            </w:r>
            <w:r>
              <w:rPr>
                <w:sz w:val="24"/>
                <w:szCs w:val="24"/>
              </w:rPr>
              <w:t>amac_core_2016-03-31-label.xml</w:t>
            </w:r>
          </w:p>
        </w:tc>
      </w:tr>
    </w:tbl>
    <w:p w:rsidR="00BA6D37" w:rsidRDefault="00314976">
      <w:pPr>
        <w:pStyle w:val="af3"/>
        <w:wordWrap/>
        <w:spacing w:after="0" w:line="560" w:lineRule="exact"/>
      </w:pPr>
      <w:r>
        <w:rPr>
          <w:rFonts w:hint="eastAsia"/>
        </w:rPr>
        <w:t>4</w:t>
      </w:r>
      <w:r>
        <w:rPr>
          <w:rFonts w:hint="eastAsia"/>
        </w:rPr>
        <w:t>．命名空间</w:t>
      </w:r>
    </w:p>
    <w:p w:rsidR="00BA6D37" w:rsidRDefault="00314976">
      <w:pPr>
        <w:pStyle w:val="af4"/>
        <w:wordWrap/>
        <w:spacing w:after="0" w:line="560" w:lineRule="exact"/>
      </w:pPr>
      <w:r>
        <w:rPr>
          <w:rFonts w:hint="eastAsia"/>
        </w:rPr>
        <w:t>为便于使用者辨认特定版本分类标准所定义的元素、类型和关系，分类标准中包含了命名空间。命名空间使用含分类标准版本日期的统一资源标识符（</w:t>
      </w:r>
      <w:r>
        <w:rPr>
          <w:rFonts w:hint="eastAsia"/>
        </w:rPr>
        <w:t>URI</w:t>
      </w:r>
      <w:r>
        <w:rPr>
          <w:rFonts w:hint="eastAsia"/>
        </w:rPr>
        <w:t>），包含指向中基协网站二级域名“</w:t>
      </w:r>
      <w:r>
        <w:t>http://www.amac.org.cn</w:t>
      </w:r>
      <w:r>
        <w:rPr>
          <w:rFonts w:hint="eastAsia"/>
        </w:rPr>
        <w:t>”的路径。本版分类标准使用的部分命名空间如表</w:t>
      </w:r>
      <w:r>
        <w:rPr>
          <w:rFonts w:hint="eastAsia"/>
        </w:rPr>
        <w:t>9</w:t>
      </w:r>
      <w:r>
        <w:rPr>
          <w:rFonts w:hint="eastAsia"/>
        </w:rPr>
        <w:t>所示：</w:t>
      </w:r>
    </w:p>
    <w:p w:rsidR="00BA6D37" w:rsidRDefault="00314976">
      <w:pPr>
        <w:pStyle w:val="af4"/>
        <w:wordWrap/>
        <w:spacing w:after="0" w:line="560" w:lineRule="exact"/>
        <w:ind w:firstLineChars="0" w:firstLine="0"/>
        <w:jc w:val="center"/>
        <w:rPr>
          <w:b/>
          <w:sz w:val="24"/>
          <w:szCs w:val="24"/>
        </w:rPr>
      </w:pPr>
      <w:r>
        <w:rPr>
          <w:rFonts w:hint="eastAsia"/>
          <w:b/>
          <w:sz w:val="24"/>
          <w:szCs w:val="24"/>
        </w:rPr>
        <w:t>表</w:t>
      </w:r>
      <w:r>
        <w:rPr>
          <w:rFonts w:hint="eastAsia"/>
          <w:b/>
          <w:sz w:val="24"/>
          <w:szCs w:val="24"/>
        </w:rPr>
        <w:t>9</w:t>
      </w:r>
      <w:r>
        <w:rPr>
          <w:rFonts w:hint="eastAsia"/>
          <w:b/>
          <w:sz w:val="24"/>
          <w:szCs w:val="24"/>
        </w:rPr>
        <w:t>：分类标准命名空间前缀和统一资源标识符举例</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279"/>
        <w:gridCol w:w="4925"/>
        <w:gridCol w:w="3759"/>
      </w:tblGrid>
      <w:tr w:rsidR="00BA6D37">
        <w:trPr>
          <w:trHeight w:hRule="exact" w:val="907"/>
          <w:tblHeader/>
          <w:jc w:val="center"/>
        </w:trPr>
        <w:tc>
          <w:tcPr>
            <w:tcW w:w="0" w:type="auto"/>
            <w:shd w:val="clear" w:color="auto" w:fill="auto"/>
            <w:vAlign w:val="center"/>
          </w:tcPr>
          <w:p w:rsidR="00BA6D37" w:rsidRDefault="00314976">
            <w:pPr>
              <w:spacing w:after="0" w:line="240" w:lineRule="auto"/>
              <w:jc w:val="center"/>
              <w:rPr>
                <w:rFonts w:ascii="Times New Roman" w:eastAsia="仿宋_GB2312" w:hAnsi="Times New Roman"/>
                <w:b/>
                <w:sz w:val="24"/>
                <w:szCs w:val="24"/>
              </w:rPr>
            </w:pPr>
            <w:bookmarkStart w:id="15" w:name="OLE_LINK41"/>
            <w:bookmarkStart w:id="16" w:name="OLE_LINK42"/>
            <w:r>
              <w:rPr>
                <w:rFonts w:ascii="Times New Roman" w:eastAsia="仿宋_GB2312" w:hAnsi="Times New Roman" w:hint="eastAsia"/>
                <w:b/>
                <w:sz w:val="24"/>
                <w:szCs w:val="24"/>
              </w:rPr>
              <w:t>命名空间前缀</w:t>
            </w:r>
          </w:p>
        </w:tc>
        <w:tc>
          <w:tcPr>
            <w:tcW w:w="4925" w:type="dxa"/>
            <w:shd w:val="clear" w:color="auto" w:fill="auto"/>
            <w:vAlign w:val="center"/>
          </w:tcPr>
          <w:p w:rsidR="00BA6D37" w:rsidRDefault="00314976">
            <w:pPr>
              <w:spacing w:after="0" w:line="240" w:lineRule="auto"/>
              <w:jc w:val="center"/>
              <w:rPr>
                <w:rFonts w:ascii="Times New Roman" w:eastAsia="仿宋_GB2312" w:hAnsi="Times New Roman"/>
                <w:b/>
                <w:sz w:val="24"/>
                <w:szCs w:val="24"/>
              </w:rPr>
            </w:pPr>
            <w:r>
              <w:rPr>
                <w:rFonts w:ascii="Times New Roman" w:eastAsia="仿宋_GB2312" w:hAnsi="Times New Roman" w:hint="eastAsia"/>
                <w:b/>
                <w:sz w:val="24"/>
                <w:szCs w:val="24"/>
              </w:rPr>
              <w:t>命名空间统一资源标识符</w:t>
            </w:r>
          </w:p>
        </w:tc>
        <w:tc>
          <w:tcPr>
            <w:tcW w:w="3759" w:type="dxa"/>
            <w:shd w:val="clear" w:color="auto" w:fill="auto"/>
            <w:vAlign w:val="center"/>
          </w:tcPr>
          <w:p w:rsidR="00BA6D37" w:rsidRDefault="00314976">
            <w:pPr>
              <w:spacing w:after="0" w:line="240" w:lineRule="auto"/>
              <w:jc w:val="center"/>
              <w:rPr>
                <w:rFonts w:ascii="Times New Roman" w:eastAsia="仿宋_GB2312" w:hAnsi="Times New Roman"/>
                <w:b/>
                <w:sz w:val="24"/>
                <w:szCs w:val="24"/>
              </w:rPr>
            </w:pPr>
            <w:r>
              <w:rPr>
                <w:rFonts w:ascii="Times New Roman" w:eastAsia="仿宋_GB2312" w:hAnsi="Times New Roman" w:hint="eastAsia"/>
                <w:b/>
                <w:sz w:val="24"/>
                <w:szCs w:val="24"/>
              </w:rPr>
              <w:t>使用说明</w:t>
            </w:r>
          </w:p>
        </w:tc>
      </w:tr>
      <w:tr w:rsidR="00BA6D37">
        <w:trPr>
          <w:trHeight w:hRule="exact" w:val="844"/>
          <w:jc w:val="center"/>
        </w:trPr>
        <w:tc>
          <w:tcPr>
            <w:tcW w:w="0" w:type="auto"/>
            <w:shd w:val="clear" w:color="auto" w:fill="auto"/>
            <w:vAlign w:val="center"/>
          </w:tcPr>
          <w:p w:rsidR="00BA6D37" w:rsidRDefault="00F76A5B">
            <w:pPr>
              <w:spacing w:after="0" w:line="240" w:lineRule="auto"/>
              <w:jc w:val="center"/>
              <w:rPr>
                <w:rFonts w:ascii="Times New Roman" w:eastAsia="仿宋_GB2312" w:hAnsi="Times New Roman"/>
                <w:sz w:val="24"/>
                <w:szCs w:val="24"/>
              </w:rPr>
            </w:pPr>
            <w:r>
              <w:rPr>
                <w:rFonts w:ascii="Times New Roman" w:eastAsia="仿宋_GB2312" w:hAnsi="Times New Roman"/>
                <w:sz w:val="24"/>
                <w:szCs w:val="24"/>
              </w:rPr>
              <w:t>a</w:t>
            </w:r>
            <w:r w:rsidR="00314976">
              <w:rPr>
                <w:rFonts w:ascii="Times New Roman" w:eastAsia="仿宋_GB2312" w:hAnsi="Times New Roman"/>
                <w:sz w:val="24"/>
                <w:szCs w:val="24"/>
              </w:rPr>
              <w:t>mac</w:t>
            </w:r>
          </w:p>
        </w:tc>
        <w:tc>
          <w:tcPr>
            <w:tcW w:w="4925" w:type="dxa"/>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sz w:val="24"/>
                <w:szCs w:val="24"/>
              </w:rPr>
              <w:t>http://www.amac.org.cn/taxonomy/2016-03-31/amac</w:t>
            </w:r>
          </w:p>
        </w:tc>
        <w:tc>
          <w:tcPr>
            <w:tcW w:w="3759" w:type="dxa"/>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本版分类标准的命名空间</w:t>
            </w:r>
          </w:p>
        </w:tc>
      </w:tr>
    </w:tbl>
    <w:bookmarkEnd w:id="15"/>
    <w:bookmarkEnd w:id="16"/>
    <w:p w:rsidR="00BA6D37" w:rsidRDefault="00314976">
      <w:pPr>
        <w:pStyle w:val="af3"/>
        <w:wordWrap/>
        <w:spacing w:beforeLines="50" w:before="120" w:after="0" w:line="560" w:lineRule="exact"/>
      </w:pPr>
      <w:r>
        <w:rPr>
          <w:rFonts w:cs="Times New Roman"/>
        </w:rPr>
        <w:t>5</w:t>
      </w:r>
      <w:r>
        <w:rPr>
          <w:rFonts w:cs="Times New Roman" w:hint="eastAsia"/>
        </w:rPr>
        <w:t>．</w:t>
      </w:r>
      <w:r>
        <w:rPr>
          <w:rFonts w:hint="eastAsia"/>
        </w:rPr>
        <w:t>模式文件</w:t>
      </w:r>
    </w:p>
    <w:p w:rsidR="00BA6D37" w:rsidRDefault="00314976">
      <w:pPr>
        <w:pStyle w:val="af4"/>
        <w:wordWrap/>
        <w:spacing w:after="0" w:line="560" w:lineRule="exact"/>
      </w:pPr>
      <w:r>
        <w:rPr>
          <w:rFonts w:hint="eastAsia"/>
        </w:rPr>
        <w:t>分类标准使用模式文件定义元素、扩展链接角色等对象，文件后缀为“</w:t>
      </w:r>
      <w:r>
        <w:rPr>
          <w:rFonts w:hint="eastAsia"/>
        </w:rPr>
        <w:t>.xsd</w:t>
      </w:r>
      <w:r>
        <w:rPr>
          <w:rFonts w:hint="eastAsia"/>
        </w:rPr>
        <w:t>”。分类标准中的模式文件主要包括以下几类：</w:t>
      </w:r>
    </w:p>
    <w:p w:rsidR="00BA6D37" w:rsidRDefault="00314976">
      <w:pPr>
        <w:pStyle w:val="af5"/>
        <w:wordWrap/>
        <w:spacing w:after="0" w:line="560" w:lineRule="exact"/>
      </w:pPr>
      <w:r>
        <w:rPr>
          <w:rFonts w:hint="eastAsia"/>
        </w:rPr>
        <w:t>（</w:t>
      </w:r>
      <w:r>
        <w:rPr>
          <w:rFonts w:hint="eastAsia"/>
        </w:rPr>
        <w:t>1</w:t>
      </w:r>
      <w:r>
        <w:rPr>
          <w:rFonts w:hint="eastAsia"/>
        </w:rPr>
        <w:t>）核心模式文件</w:t>
      </w:r>
    </w:p>
    <w:p w:rsidR="00BA6D37" w:rsidRDefault="00314976">
      <w:pPr>
        <w:pStyle w:val="af4"/>
        <w:wordWrap/>
        <w:spacing w:after="0" w:line="560" w:lineRule="exact"/>
      </w:pPr>
      <w:r>
        <w:rPr>
          <w:rFonts w:hint="eastAsia"/>
        </w:rPr>
        <w:t>分类标准中创建的元素保存在核心模式文件</w:t>
      </w:r>
      <w:r>
        <w:t>amac_core_2016-03-31.xsd</w:t>
      </w:r>
      <w:r>
        <w:rPr>
          <w:rFonts w:hint="eastAsia"/>
        </w:rPr>
        <w:t>中。</w:t>
      </w:r>
    </w:p>
    <w:p w:rsidR="00BA6D37" w:rsidRDefault="00314976">
      <w:pPr>
        <w:pStyle w:val="af5"/>
        <w:wordWrap/>
        <w:spacing w:after="0" w:line="560" w:lineRule="exact"/>
      </w:pPr>
      <w:r>
        <w:rPr>
          <w:rFonts w:hint="eastAsia"/>
        </w:rPr>
        <w:t>（</w:t>
      </w:r>
      <w:r>
        <w:t>2</w:t>
      </w:r>
      <w:r>
        <w:rPr>
          <w:rFonts w:hint="eastAsia"/>
        </w:rPr>
        <w:t>）入口模式文件</w:t>
      </w:r>
    </w:p>
    <w:p w:rsidR="00BA6D37" w:rsidRDefault="00314976">
      <w:pPr>
        <w:pStyle w:val="af4"/>
        <w:spacing w:after="0" w:line="560" w:lineRule="exact"/>
      </w:pPr>
      <w:r>
        <w:rPr>
          <w:rFonts w:hint="eastAsia"/>
        </w:rPr>
        <w:t>入口模式文件也是模式文件的一种，</w:t>
      </w:r>
      <w:bookmarkStart w:id="17" w:name="OLE_LINK27"/>
      <w:bookmarkStart w:id="18" w:name="OLE_LINK28"/>
      <w:r>
        <w:rPr>
          <w:rFonts w:hint="eastAsia"/>
        </w:rPr>
        <w:t>将分类标准中的核心模式文件、扩展链接角色模式文件以及链接库文件组织在一起，是</w:t>
      </w:r>
      <w:r>
        <w:t>计算机访问分类标准</w:t>
      </w:r>
      <w:r>
        <w:rPr>
          <w:rFonts w:hint="eastAsia"/>
        </w:rPr>
        <w:t>的起点，可引导</w:t>
      </w:r>
      <w:r>
        <w:t>计算机</w:t>
      </w:r>
      <w:r>
        <w:rPr>
          <w:rFonts w:hint="eastAsia"/>
        </w:rPr>
        <w:t>以适当的顺序访问适当的文件，从而解析出元素之间的关系。</w:t>
      </w:r>
      <w:bookmarkEnd w:id="17"/>
      <w:bookmarkEnd w:id="18"/>
      <w:r>
        <w:rPr>
          <w:rFonts w:hint="eastAsia"/>
        </w:rPr>
        <w:t>分类标准为不同类型的报送</w:t>
      </w:r>
      <w:r>
        <w:t>者</w:t>
      </w:r>
      <w:r>
        <w:rPr>
          <w:rFonts w:hint="eastAsia"/>
        </w:rPr>
        <w:t>分别</w:t>
      </w:r>
      <w:r>
        <w:t>设立了</w:t>
      </w:r>
      <w:r>
        <w:rPr>
          <w:rFonts w:hint="eastAsia"/>
        </w:rPr>
        <w:t>独立的入口模式文件。不同类型的报送</w:t>
      </w:r>
      <w:r>
        <w:t>者</w:t>
      </w:r>
      <w:r>
        <w:rPr>
          <w:rFonts w:hint="eastAsia"/>
        </w:rPr>
        <w:t>可以通过访问相应</w:t>
      </w:r>
      <w:r>
        <w:t>的入口</w:t>
      </w:r>
      <w:r>
        <w:rPr>
          <w:rFonts w:hint="eastAsia"/>
        </w:rPr>
        <w:t>模式</w:t>
      </w:r>
      <w:r>
        <w:t>文件</w:t>
      </w:r>
      <w:r>
        <w:rPr>
          <w:rFonts w:hint="eastAsia"/>
        </w:rPr>
        <w:t>了解适用</w:t>
      </w:r>
      <w:r>
        <w:t>的</w:t>
      </w:r>
      <w:r>
        <w:rPr>
          <w:rFonts w:hint="eastAsia"/>
        </w:rPr>
        <w:t>报告报表，</w:t>
      </w:r>
      <w:r>
        <w:t>也可以通过访问完</w:t>
      </w:r>
      <w:r>
        <w:lastRenderedPageBreak/>
        <w:t>整</w:t>
      </w:r>
      <w:r>
        <w:rPr>
          <w:rFonts w:hint="eastAsia"/>
        </w:rPr>
        <w:t>的</w:t>
      </w:r>
      <w:r>
        <w:t>入口</w:t>
      </w:r>
      <w:r>
        <w:rPr>
          <w:rFonts w:hint="eastAsia"/>
        </w:rPr>
        <w:t>模式</w:t>
      </w:r>
      <w:r>
        <w:t>文件</w:t>
      </w:r>
      <w:r>
        <w:rPr>
          <w:rFonts w:hint="eastAsia"/>
        </w:rPr>
        <w:t>了解整个分类标准所涉及</w:t>
      </w:r>
      <w:r>
        <w:t>的</w:t>
      </w:r>
      <w:r>
        <w:rPr>
          <w:rFonts w:hint="eastAsia"/>
        </w:rPr>
        <w:t>全部披露</w:t>
      </w:r>
      <w:r>
        <w:t>内容</w:t>
      </w:r>
      <w:r>
        <w:rPr>
          <w:rFonts w:hint="eastAsia"/>
        </w:rPr>
        <w:t>。入口</w:t>
      </w:r>
      <w:r>
        <w:t>文件</w:t>
      </w:r>
      <w:r>
        <w:rPr>
          <w:rFonts w:hint="eastAsia"/>
        </w:rPr>
        <w:t>的</w:t>
      </w:r>
      <w:r>
        <w:t>划分维度</w:t>
      </w:r>
      <w:r>
        <w:rPr>
          <w:rFonts w:hint="eastAsia"/>
        </w:rPr>
        <w:t>如下</w:t>
      </w:r>
      <w:r>
        <w:t>：</w:t>
      </w:r>
    </w:p>
    <w:p w:rsidR="00BA6D37" w:rsidRDefault="00314976">
      <w:pPr>
        <w:pStyle w:val="af4"/>
        <w:numPr>
          <w:ilvl w:val="0"/>
          <w:numId w:val="5"/>
        </w:numPr>
        <w:spacing w:after="0" w:line="560" w:lineRule="exact"/>
        <w:ind w:firstLineChars="0"/>
      </w:pPr>
      <w:r>
        <w:rPr>
          <w:rFonts w:hint="eastAsia"/>
        </w:rPr>
        <w:t>按照不同的系统平台划分为私募基金信息披露系统以及</w:t>
      </w:r>
      <w:r>
        <w:t>资产管理业务综合报送平台</w:t>
      </w:r>
      <w:r>
        <w:rPr>
          <w:rFonts w:hint="eastAsia"/>
        </w:rPr>
        <w:t>。</w:t>
      </w:r>
    </w:p>
    <w:p w:rsidR="00BA6D37" w:rsidRDefault="00314976">
      <w:pPr>
        <w:pStyle w:val="af4"/>
        <w:numPr>
          <w:ilvl w:val="0"/>
          <w:numId w:val="5"/>
        </w:numPr>
        <w:spacing w:after="0" w:line="560" w:lineRule="exact"/>
        <w:ind w:firstLineChars="0"/>
      </w:pPr>
      <w:r>
        <w:rPr>
          <w:rFonts w:hint="eastAsia"/>
        </w:rPr>
        <w:t>按照私募基金信息披露系统的不同类型报告划分为年度报告、半年度报告、季度报告和月度报告；</w:t>
      </w:r>
      <w:r>
        <w:t>资产管理业务综合报送平台的不同类型报告划分为产品运行表、产品清算、产品顾问关系解除表、年度财务检测报告</w:t>
      </w:r>
      <w:r w:rsidR="00112914">
        <w:t>、</w:t>
      </w:r>
      <w:r w:rsidR="00112914" w:rsidRPr="00112914">
        <w:t>量化私募基金运行报表</w:t>
      </w:r>
      <w:r>
        <w:rPr>
          <w:rFonts w:hint="eastAsia"/>
        </w:rPr>
        <w:t>。</w:t>
      </w:r>
    </w:p>
    <w:p w:rsidR="00BA6D37" w:rsidRDefault="00314976">
      <w:pPr>
        <w:pStyle w:val="af4"/>
        <w:spacing w:after="0" w:line="560" w:lineRule="exact"/>
      </w:pPr>
      <w:r>
        <w:rPr>
          <w:rFonts w:hint="eastAsia"/>
        </w:rPr>
        <w:t>综上</w:t>
      </w:r>
      <w:r>
        <w:t>所述</w:t>
      </w:r>
      <w:r>
        <w:rPr>
          <w:rFonts w:hint="eastAsia"/>
        </w:rPr>
        <w:t>，分类标准的入口文件如</w:t>
      </w:r>
      <w:r>
        <w:t>下表</w:t>
      </w:r>
      <w:r>
        <w:rPr>
          <w:rFonts w:hint="eastAsia"/>
        </w:rPr>
        <w:t>10</w:t>
      </w:r>
      <w:r>
        <w:rPr>
          <w:rFonts w:hint="eastAsia"/>
        </w:rPr>
        <w:t>所示：</w:t>
      </w:r>
    </w:p>
    <w:p w:rsidR="00BA6D37" w:rsidRDefault="00314976">
      <w:pPr>
        <w:pStyle w:val="af4"/>
        <w:wordWrap/>
        <w:spacing w:after="0" w:line="560" w:lineRule="exact"/>
        <w:ind w:firstLine="482"/>
        <w:jc w:val="center"/>
      </w:pPr>
      <w:r>
        <w:rPr>
          <w:rFonts w:hint="eastAsia"/>
          <w:b/>
          <w:sz w:val="24"/>
          <w:szCs w:val="24"/>
        </w:rPr>
        <w:t>表</w:t>
      </w:r>
      <w:r>
        <w:rPr>
          <w:rFonts w:hint="eastAsia"/>
          <w:b/>
          <w:sz w:val="24"/>
          <w:szCs w:val="24"/>
        </w:rPr>
        <w:t>10</w:t>
      </w:r>
      <w:r>
        <w:rPr>
          <w:b/>
          <w:sz w:val="24"/>
          <w:szCs w:val="24"/>
        </w:rPr>
        <w:t xml:space="preserve"> </w:t>
      </w:r>
      <w:r>
        <w:rPr>
          <w:rFonts w:hint="eastAsia"/>
          <w:b/>
          <w:sz w:val="24"/>
          <w:szCs w:val="24"/>
        </w:rPr>
        <w:t>：分类标准入口</w:t>
      </w:r>
      <w:r>
        <w:rPr>
          <w:b/>
          <w:sz w:val="24"/>
          <w:szCs w:val="24"/>
        </w:rPr>
        <w:t>文件说明</w:t>
      </w:r>
    </w:p>
    <w:tbl>
      <w:tblPr>
        <w:tblStyle w:val="aa"/>
        <w:tblW w:w="5000" w:type="pct"/>
        <w:jc w:val="center"/>
        <w:tblBorders>
          <w:left w:val="none" w:sz="0" w:space="0" w:color="auto"/>
          <w:right w:val="none" w:sz="0" w:space="0" w:color="auto"/>
        </w:tblBorders>
        <w:tblLook w:val="04A0" w:firstRow="1" w:lastRow="0" w:firstColumn="1" w:lastColumn="0" w:noHBand="0" w:noVBand="1"/>
      </w:tblPr>
      <w:tblGrid>
        <w:gridCol w:w="954"/>
        <w:gridCol w:w="4683"/>
        <w:gridCol w:w="4326"/>
      </w:tblGrid>
      <w:tr w:rsidR="00BA6D37">
        <w:trPr>
          <w:trHeight w:val="419"/>
          <w:jc w:val="center"/>
        </w:trPr>
        <w:tc>
          <w:tcPr>
            <w:tcW w:w="479" w:type="pct"/>
            <w:vAlign w:val="center"/>
          </w:tcPr>
          <w:p w:rsidR="00BA6D37" w:rsidRDefault="00314976">
            <w:pPr>
              <w:spacing w:after="0" w:line="240" w:lineRule="auto"/>
              <w:jc w:val="center"/>
              <w:rPr>
                <w:rFonts w:ascii="Times New Roman" w:eastAsia="仿宋_GB2312" w:hAnsi="Times New Roman"/>
                <w:b/>
                <w:sz w:val="24"/>
                <w:szCs w:val="24"/>
              </w:rPr>
            </w:pPr>
            <w:r>
              <w:rPr>
                <w:rFonts w:ascii="Times New Roman" w:eastAsia="仿宋_GB2312" w:hAnsi="Times New Roman" w:hint="eastAsia"/>
                <w:b/>
                <w:sz w:val="24"/>
                <w:szCs w:val="24"/>
              </w:rPr>
              <w:t>序号</w:t>
            </w:r>
          </w:p>
        </w:tc>
        <w:tc>
          <w:tcPr>
            <w:tcW w:w="2350" w:type="pct"/>
            <w:vAlign w:val="center"/>
          </w:tcPr>
          <w:p w:rsidR="00BA6D37" w:rsidRDefault="00314976">
            <w:pPr>
              <w:spacing w:after="0" w:line="240" w:lineRule="auto"/>
              <w:jc w:val="center"/>
              <w:rPr>
                <w:rFonts w:ascii="Times New Roman" w:eastAsia="仿宋_GB2312" w:hAnsi="Times New Roman"/>
                <w:b/>
                <w:sz w:val="24"/>
                <w:szCs w:val="24"/>
              </w:rPr>
            </w:pPr>
            <w:r>
              <w:rPr>
                <w:rFonts w:ascii="Times New Roman" w:eastAsia="仿宋_GB2312" w:hAnsi="Times New Roman" w:hint="eastAsia"/>
                <w:b/>
                <w:sz w:val="24"/>
                <w:szCs w:val="24"/>
              </w:rPr>
              <w:t>入口文件</w:t>
            </w:r>
            <w:r>
              <w:rPr>
                <w:rFonts w:ascii="Times New Roman" w:eastAsia="仿宋_GB2312" w:hAnsi="Times New Roman"/>
                <w:b/>
                <w:sz w:val="24"/>
                <w:szCs w:val="24"/>
              </w:rPr>
              <w:t>名称</w:t>
            </w:r>
          </w:p>
        </w:tc>
        <w:tc>
          <w:tcPr>
            <w:tcW w:w="2171" w:type="pct"/>
            <w:vAlign w:val="center"/>
          </w:tcPr>
          <w:p w:rsidR="00BA6D37" w:rsidRDefault="00314976">
            <w:pPr>
              <w:spacing w:after="0" w:line="240" w:lineRule="auto"/>
              <w:jc w:val="center"/>
              <w:rPr>
                <w:rFonts w:ascii="Times New Roman" w:eastAsia="仿宋_GB2312" w:hAnsi="Times New Roman"/>
                <w:b/>
                <w:sz w:val="24"/>
                <w:szCs w:val="24"/>
              </w:rPr>
            </w:pPr>
            <w:r>
              <w:rPr>
                <w:rFonts w:ascii="Times New Roman" w:eastAsia="仿宋_GB2312" w:hAnsi="Times New Roman" w:hint="eastAsia"/>
                <w:b/>
                <w:sz w:val="24"/>
                <w:szCs w:val="24"/>
              </w:rPr>
              <w:t>入口</w:t>
            </w:r>
            <w:r>
              <w:rPr>
                <w:rFonts w:ascii="Times New Roman" w:eastAsia="仿宋_GB2312" w:hAnsi="Times New Roman"/>
                <w:b/>
                <w:sz w:val="24"/>
                <w:szCs w:val="24"/>
              </w:rPr>
              <w:t>文件说明</w:t>
            </w:r>
          </w:p>
        </w:tc>
      </w:tr>
      <w:tr w:rsidR="00BA6D37">
        <w:trPr>
          <w:trHeight w:val="760"/>
          <w:jc w:val="center"/>
        </w:trPr>
        <w:tc>
          <w:tcPr>
            <w:tcW w:w="479" w:type="pct"/>
            <w:vAlign w:val="center"/>
          </w:tcPr>
          <w:p w:rsidR="00BA6D37" w:rsidRDefault="00314976">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2350"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ar_amac_2016-03-31.xsd</w:t>
            </w:r>
          </w:p>
        </w:tc>
        <w:tc>
          <w:tcPr>
            <w:tcW w:w="2171"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信息披露年度报告</w:t>
            </w:r>
          </w:p>
        </w:tc>
      </w:tr>
      <w:tr w:rsidR="00BA6D37">
        <w:trPr>
          <w:trHeight w:val="493"/>
          <w:jc w:val="center"/>
        </w:trPr>
        <w:tc>
          <w:tcPr>
            <w:tcW w:w="479" w:type="pct"/>
            <w:vAlign w:val="center"/>
          </w:tcPr>
          <w:p w:rsidR="00BA6D37" w:rsidRDefault="00314976">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2350"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mr_amac_2016-03-31.xsd</w:t>
            </w:r>
          </w:p>
        </w:tc>
        <w:tc>
          <w:tcPr>
            <w:tcW w:w="2171"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信息披露月度报告</w:t>
            </w:r>
          </w:p>
        </w:tc>
      </w:tr>
      <w:tr w:rsidR="00BA6D37">
        <w:trPr>
          <w:trHeight w:val="737"/>
          <w:jc w:val="center"/>
        </w:trPr>
        <w:tc>
          <w:tcPr>
            <w:tcW w:w="479" w:type="pct"/>
            <w:vAlign w:val="center"/>
          </w:tcPr>
          <w:p w:rsidR="00BA6D37" w:rsidRDefault="00314976">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3</w:t>
            </w:r>
          </w:p>
        </w:tc>
        <w:tc>
          <w:tcPr>
            <w:tcW w:w="2350"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qr_amac_2016-03-31.xsd</w:t>
            </w:r>
          </w:p>
        </w:tc>
        <w:tc>
          <w:tcPr>
            <w:tcW w:w="2171"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信息披露季度报告</w:t>
            </w:r>
          </w:p>
        </w:tc>
      </w:tr>
      <w:tr w:rsidR="00BA6D37">
        <w:trPr>
          <w:trHeight w:val="737"/>
          <w:jc w:val="center"/>
        </w:trPr>
        <w:tc>
          <w:tcPr>
            <w:tcW w:w="479" w:type="pct"/>
            <w:vAlign w:val="center"/>
          </w:tcPr>
          <w:p w:rsidR="00BA6D37" w:rsidRDefault="00314976">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4</w:t>
            </w:r>
          </w:p>
        </w:tc>
        <w:tc>
          <w:tcPr>
            <w:tcW w:w="2350"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sar_amac_2016-03-31.xsd</w:t>
            </w:r>
          </w:p>
        </w:tc>
        <w:tc>
          <w:tcPr>
            <w:tcW w:w="2171"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信息披露半年度报告</w:t>
            </w:r>
          </w:p>
        </w:tc>
      </w:tr>
      <w:tr w:rsidR="00BA6D37">
        <w:trPr>
          <w:trHeight w:val="737"/>
          <w:jc w:val="center"/>
        </w:trPr>
        <w:tc>
          <w:tcPr>
            <w:tcW w:w="479" w:type="pct"/>
            <w:vAlign w:val="center"/>
          </w:tcPr>
          <w:p w:rsidR="00BA6D37" w:rsidRDefault="00314976">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5</w:t>
            </w:r>
          </w:p>
        </w:tc>
        <w:tc>
          <w:tcPr>
            <w:tcW w:w="2350"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pf_amac_2016-03-31.xsd</w:t>
            </w:r>
          </w:p>
        </w:tc>
        <w:tc>
          <w:tcPr>
            <w:tcW w:w="2171"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产品运行表</w:t>
            </w:r>
            <w:r>
              <w:rPr>
                <w:rFonts w:ascii="Times New Roman" w:eastAsia="仿宋_GB2312" w:hAnsi="Times New Roman" w:cs="Times New Roman" w:hint="eastAsia"/>
                <w:sz w:val="24"/>
                <w:szCs w:val="24"/>
              </w:rPr>
              <w:t>/</w:t>
            </w:r>
            <w:r>
              <w:rPr>
                <w:rFonts w:ascii="Times New Roman" w:eastAsia="仿宋_GB2312" w:hAnsi="Times New Roman" w:cs="Times New Roman" w:hint="eastAsia"/>
                <w:sz w:val="24"/>
                <w:szCs w:val="24"/>
              </w:rPr>
              <w:t>产品顾问关系解除表</w:t>
            </w:r>
          </w:p>
        </w:tc>
      </w:tr>
      <w:tr w:rsidR="00BA6D37">
        <w:trPr>
          <w:trHeight w:val="737"/>
          <w:jc w:val="center"/>
        </w:trPr>
        <w:tc>
          <w:tcPr>
            <w:tcW w:w="479" w:type="pct"/>
            <w:vAlign w:val="center"/>
          </w:tcPr>
          <w:p w:rsidR="00BA6D37" w:rsidRDefault="00314976">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6</w:t>
            </w:r>
          </w:p>
        </w:tc>
        <w:tc>
          <w:tcPr>
            <w:tcW w:w="2350"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pf_ar_amac_2016-03-31.xsd</w:t>
            </w:r>
          </w:p>
        </w:tc>
        <w:tc>
          <w:tcPr>
            <w:tcW w:w="2171"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年度财务监测报告</w:t>
            </w:r>
          </w:p>
        </w:tc>
      </w:tr>
      <w:tr w:rsidR="00BA6D37">
        <w:trPr>
          <w:trHeight w:val="737"/>
          <w:jc w:val="center"/>
        </w:trPr>
        <w:tc>
          <w:tcPr>
            <w:tcW w:w="479" w:type="pct"/>
            <w:vAlign w:val="center"/>
          </w:tcPr>
          <w:p w:rsidR="00BA6D37" w:rsidRDefault="00314976">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7</w:t>
            </w:r>
          </w:p>
        </w:tc>
        <w:tc>
          <w:tcPr>
            <w:tcW w:w="2350"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pf_liquidation_2017-07-31.xsd</w:t>
            </w:r>
          </w:p>
        </w:tc>
        <w:tc>
          <w:tcPr>
            <w:tcW w:w="2171" w:type="pct"/>
            <w:vAlign w:val="center"/>
          </w:tcPr>
          <w:p w:rsidR="00BA6D37" w:rsidRDefault="00314976">
            <w:pPr>
              <w:spacing w:after="0" w:line="400" w:lineRule="exact"/>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产品清算</w:t>
            </w:r>
          </w:p>
        </w:tc>
      </w:tr>
      <w:tr w:rsidR="002336C3">
        <w:trPr>
          <w:trHeight w:val="737"/>
          <w:jc w:val="center"/>
        </w:trPr>
        <w:tc>
          <w:tcPr>
            <w:tcW w:w="479" w:type="pct"/>
            <w:vAlign w:val="center"/>
          </w:tcPr>
          <w:p w:rsidR="002336C3" w:rsidRDefault="002336C3">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8</w:t>
            </w:r>
          </w:p>
        </w:tc>
        <w:tc>
          <w:tcPr>
            <w:tcW w:w="2350" w:type="pct"/>
            <w:vAlign w:val="center"/>
          </w:tcPr>
          <w:p w:rsidR="002336C3" w:rsidRDefault="002336C3">
            <w:pPr>
              <w:spacing w:after="0" w:line="400" w:lineRule="exact"/>
              <w:rPr>
                <w:rFonts w:ascii="Times New Roman" w:eastAsia="仿宋_GB2312" w:hAnsi="Times New Roman" w:cs="Times New Roman"/>
                <w:sz w:val="24"/>
                <w:szCs w:val="24"/>
              </w:rPr>
            </w:pPr>
            <w:r w:rsidRPr="002336C3">
              <w:rPr>
                <w:rFonts w:ascii="Times New Roman" w:eastAsia="仿宋_GB2312" w:hAnsi="Times New Roman" w:cs="Times New Roman"/>
                <w:sz w:val="24"/>
                <w:szCs w:val="24"/>
              </w:rPr>
              <w:t>pf_qmmr_amac_2016-03-31.xsd</w:t>
            </w:r>
          </w:p>
        </w:tc>
        <w:tc>
          <w:tcPr>
            <w:tcW w:w="2171" w:type="pct"/>
            <w:vAlign w:val="center"/>
          </w:tcPr>
          <w:p w:rsidR="002336C3" w:rsidRDefault="002336C3">
            <w:pPr>
              <w:spacing w:after="0" w:line="400" w:lineRule="exact"/>
              <w:rPr>
                <w:rFonts w:ascii="Times New Roman" w:eastAsia="仿宋_GB2312" w:hAnsi="Times New Roman" w:cs="Times New Roman"/>
                <w:sz w:val="24"/>
                <w:szCs w:val="24"/>
              </w:rPr>
            </w:pPr>
            <w:r w:rsidRPr="002336C3">
              <w:rPr>
                <w:rFonts w:ascii="Times New Roman" w:eastAsia="仿宋_GB2312" w:hAnsi="Times New Roman" w:cs="Times New Roman"/>
                <w:sz w:val="24"/>
                <w:szCs w:val="24"/>
              </w:rPr>
              <w:t>量化私募基金运行报表</w:t>
            </w:r>
          </w:p>
        </w:tc>
      </w:tr>
      <w:tr w:rsidR="00EE522C">
        <w:trPr>
          <w:trHeight w:val="737"/>
          <w:jc w:val="center"/>
        </w:trPr>
        <w:tc>
          <w:tcPr>
            <w:tcW w:w="479" w:type="pct"/>
            <w:vAlign w:val="center"/>
          </w:tcPr>
          <w:p w:rsidR="00EE522C" w:rsidRDefault="00EE522C">
            <w:pPr>
              <w:spacing w:after="0" w:line="400" w:lineRule="exac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9</w:t>
            </w:r>
          </w:p>
        </w:tc>
        <w:tc>
          <w:tcPr>
            <w:tcW w:w="2350" w:type="pct"/>
            <w:vAlign w:val="center"/>
          </w:tcPr>
          <w:p w:rsidR="00EE522C" w:rsidRPr="002336C3" w:rsidRDefault="00EE522C">
            <w:pPr>
              <w:spacing w:after="0" w:line="400" w:lineRule="exact"/>
              <w:rPr>
                <w:rFonts w:ascii="Times New Roman" w:eastAsia="仿宋_GB2312" w:hAnsi="Times New Roman" w:cs="Times New Roman"/>
                <w:sz w:val="24"/>
                <w:szCs w:val="24"/>
              </w:rPr>
            </w:pPr>
            <w:r w:rsidRPr="00EE522C">
              <w:rPr>
                <w:rFonts w:ascii="Times New Roman" w:eastAsia="仿宋_GB2312" w:hAnsi="Times New Roman" w:cs="Times New Roman"/>
                <w:sz w:val="24"/>
                <w:szCs w:val="24"/>
              </w:rPr>
              <w:t>pf_assmr_amac_2016-03-31.xsd</w:t>
            </w:r>
          </w:p>
        </w:tc>
        <w:tc>
          <w:tcPr>
            <w:tcW w:w="2171" w:type="pct"/>
            <w:vAlign w:val="center"/>
          </w:tcPr>
          <w:p w:rsidR="00EE522C" w:rsidRPr="002336C3" w:rsidRDefault="00EE522C">
            <w:pPr>
              <w:spacing w:after="0" w:line="400" w:lineRule="exact"/>
              <w:rPr>
                <w:rFonts w:ascii="Times New Roman" w:eastAsia="仿宋_GB2312" w:hAnsi="Times New Roman" w:cs="Times New Roman"/>
                <w:sz w:val="24"/>
                <w:szCs w:val="24"/>
              </w:rPr>
            </w:pPr>
            <w:r w:rsidRPr="00EE522C">
              <w:rPr>
                <w:rFonts w:ascii="Times New Roman" w:eastAsia="仿宋_GB2312" w:hAnsi="Times New Roman" w:cs="Times New Roman" w:hint="eastAsia"/>
                <w:sz w:val="24"/>
                <w:szCs w:val="24"/>
              </w:rPr>
              <w:t>规模以上证券类管理人报表</w:t>
            </w:r>
          </w:p>
        </w:tc>
      </w:tr>
    </w:tbl>
    <w:p w:rsidR="00BA6D37" w:rsidRDefault="00314976">
      <w:pPr>
        <w:pStyle w:val="af3"/>
        <w:wordWrap/>
        <w:spacing w:after="0" w:line="560" w:lineRule="exact"/>
      </w:pPr>
      <w:r>
        <w:t>6</w:t>
      </w:r>
      <w:r>
        <w:rPr>
          <w:rFonts w:hint="eastAsia"/>
        </w:rPr>
        <w:t>．链接库</w:t>
      </w:r>
    </w:p>
    <w:p w:rsidR="00BA6D37" w:rsidRDefault="00314976">
      <w:pPr>
        <w:pStyle w:val="af4"/>
        <w:wordWrap/>
        <w:spacing w:after="0" w:line="560" w:lineRule="exact"/>
      </w:pPr>
      <w:r>
        <w:rPr>
          <w:rFonts w:hint="eastAsia"/>
        </w:rPr>
        <w:lastRenderedPageBreak/>
        <w:t>链接库是用来定义元素间关系的文件。由于</w:t>
      </w:r>
      <w:r>
        <w:t>报送报告</w:t>
      </w:r>
      <w:r>
        <w:rPr>
          <w:rFonts w:hint="eastAsia"/>
        </w:rPr>
        <w:t>没有设置</w:t>
      </w:r>
      <w:r>
        <w:t>维度结构</w:t>
      </w:r>
      <w:r>
        <w:rPr>
          <w:rFonts w:hint="eastAsia"/>
        </w:rPr>
        <w:t>，且未通过</w:t>
      </w:r>
      <w:r>
        <w:t>分类标准表达元素</w:t>
      </w:r>
      <w:r>
        <w:rPr>
          <w:rFonts w:hint="eastAsia"/>
        </w:rPr>
        <w:t>间</w:t>
      </w:r>
      <w:r>
        <w:t>的</w:t>
      </w:r>
      <w:r>
        <w:rPr>
          <w:rFonts w:hint="eastAsia"/>
        </w:rPr>
        <w:t>计算</w:t>
      </w:r>
      <w:r>
        <w:t>关系</w:t>
      </w:r>
      <w:r>
        <w:rPr>
          <w:rFonts w:hint="eastAsia"/>
        </w:rPr>
        <w:t>，</w:t>
      </w:r>
      <w:r>
        <w:t>因此</w:t>
      </w:r>
      <w:r>
        <w:rPr>
          <w:rFonts w:hint="eastAsia"/>
        </w:rPr>
        <w:t>本版分类标准仅使用了</w:t>
      </w:r>
      <w:r>
        <w:t>3</w:t>
      </w:r>
      <w:r>
        <w:rPr>
          <w:rFonts w:hint="eastAsia"/>
        </w:rPr>
        <w:t>种</w:t>
      </w:r>
      <w:bookmarkStart w:id="19" w:name="OLE_LINK51"/>
      <w:bookmarkStart w:id="20" w:name="OLE_LINK52"/>
      <w:r>
        <w:rPr>
          <w:rFonts w:hint="eastAsia"/>
        </w:rPr>
        <w:t>链接库：列报链接库（</w:t>
      </w:r>
      <w:r>
        <w:rPr>
          <w:rFonts w:hint="eastAsia"/>
        </w:rPr>
        <w:t>Presentation linkbase</w:t>
      </w:r>
      <w:r>
        <w:rPr>
          <w:rFonts w:hint="eastAsia"/>
        </w:rPr>
        <w:t>）、标签链接库（</w:t>
      </w:r>
      <w:r>
        <w:rPr>
          <w:rFonts w:hint="eastAsia"/>
        </w:rPr>
        <w:t>Label linkbase</w:t>
      </w:r>
      <w:r>
        <w:rPr>
          <w:rFonts w:hint="eastAsia"/>
        </w:rPr>
        <w:t>）</w:t>
      </w:r>
      <w:bookmarkEnd w:id="19"/>
      <w:bookmarkEnd w:id="20"/>
      <w:r>
        <w:rPr>
          <w:rFonts w:hint="eastAsia"/>
        </w:rPr>
        <w:t>和计算链接库（</w:t>
      </w:r>
      <w:r>
        <w:rPr>
          <w:rFonts w:hint="eastAsia"/>
        </w:rPr>
        <w:t>Calculation</w:t>
      </w:r>
      <w:r>
        <w:t xml:space="preserve"> linkbase</w:t>
      </w:r>
      <w:r>
        <w:rPr>
          <w:rFonts w:hint="eastAsia"/>
        </w:rPr>
        <w:t>）。</w:t>
      </w:r>
    </w:p>
    <w:p w:rsidR="00BA6D37" w:rsidRDefault="00314976">
      <w:pPr>
        <w:pStyle w:val="af5"/>
        <w:wordWrap/>
        <w:spacing w:after="0" w:line="560" w:lineRule="exact"/>
      </w:pPr>
      <w:r>
        <w:rPr>
          <w:rFonts w:hint="eastAsia"/>
        </w:rPr>
        <w:t>（</w:t>
      </w:r>
      <w:r>
        <w:rPr>
          <w:rFonts w:hint="eastAsia"/>
        </w:rPr>
        <w:t>1</w:t>
      </w:r>
      <w:r>
        <w:rPr>
          <w:rFonts w:hint="eastAsia"/>
        </w:rPr>
        <w:t>）列报链接库</w:t>
      </w:r>
    </w:p>
    <w:p w:rsidR="00BA6D37" w:rsidRDefault="00314976">
      <w:pPr>
        <w:pStyle w:val="af4"/>
        <w:wordWrap/>
        <w:spacing w:after="0" w:line="560" w:lineRule="exact"/>
      </w:pPr>
      <w:r>
        <w:rPr>
          <w:rFonts w:hint="eastAsia"/>
        </w:rPr>
        <w:t>列报链接库用来定义元素与元素在列报上的层级关系和顺序关系。为了确保列报层级的一致性和元素间关系的连续性，分类标准在列报链接库的每一个扩展链接角色（</w:t>
      </w:r>
      <w:r>
        <w:rPr>
          <w:rFonts w:hint="eastAsia"/>
        </w:rPr>
        <w:t>ELR</w:t>
      </w:r>
      <w:r>
        <w:rPr>
          <w:rFonts w:hint="eastAsia"/>
        </w:rPr>
        <w:t>）中，都设置了一个抽象概念作为父元素。</w:t>
      </w:r>
    </w:p>
    <w:p w:rsidR="00BA6D37" w:rsidRDefault="00314976">
      <w:pPr>
        <w:pStyle w:val="af5"/>
        <w:wordWrap/>
        <w:spacing w:after="0" w:line="560" w:lineRule="exact"/>
      </w:pPr>
      <w:r>
        <w:rPr>
          <w:rFonts w:hint="eastAsia"/>
        </w:rPr>
        <w:t>（</w:t>
      </w:r>
      <w:r>
        <w:rPr>
          <w:rFonts w:hint="eastAsia"/>
        </w:rPr>
        <w:t>2</w:t>
      </w:r>
      <w:r>
        <w:rPr>
          <w:rFonts w:hint="eastAsia"/>
        </w:rPr>
        <w:t>）标签链接库</w:t>
      </w:r>
    </w:p>
    <w:p w:rsidR="00BA6D37" w:rsidRDefault="00314976">
      <w:pPr>
        <w:pStyle w:val="af4"/>
        <w:wordWrap/>
        <w:spacing w:after="0" w:line="560" w:lineRule="exact"/>
      </w:pPr>
      <w:r>
        <w:rPr>
          <w:rFonts w:hint="eastAsia"/>
        </w:rPr>
        <w:t>标签链接库用来表示元素及其显示名称间的对应关系，以将元素与人们更容易阅读和理解的名称联系起来。分类标准使用中文定义元素标签。在确定标签时，遵循可读、简明、一致的命名规则。此外，分类标准以通用标签链接库定义扩展链接角色的中文名称。</w:t>
      </w:r>
    </w:p>
    <w:p w:rsidR="00BA6D37" w:rsidRDefault="00314976">
      <w:pPr>
        <w:pStyle w:val="af4"/>
        <w:wordWrap/>
        <w:spacing w:after="0" w:line="560" w:lineRule="exact"/>
      </w:pPr>
      <w:r>
        <w:rPr>
          <w:rFonts w:hint="eastAsia"/>
        </w:rPr>
        <w:t>同一个元素可能有多个不同标签，在同一种语言下每个标签有唯一的标签角色。标签角色规定了相应元素在特定情形下应当显示的恰当标签。分类标准使用的标签角色及说明如表</w:t>
      </w:r>
      <w:r>
        <w:t>1</w:t>
      </w:r>
      <w:r>
        <w:rPr>
          <w:rFonts w:hint="eastAsia"/>
        </w:rPr>
        <w:t>1</w:t>
      </w:r>
      <w:r>
        <w:rPr>
          <w:rFonts w:hint="eastAsia"/>
        </w:rPr>
        <w:t>所示。</w:t>
      </w:r>
    </w:p>
    <w:p w:rsidR="00BA6D37" w:rsidRDefault="00314976">
      <w:pPr>
        <w:pStyle w:val="af4"/>
        <w:wordWrap/>
        <w:spacing w:after="0" w:line="560" w:lineRule="exact"/>
        <w:ind w:firstLineChars="0" w:firstLine="0"/>
        <w:jc w:val="center"/>
        <w:rPr>
          <w:b/>
          <w:sz w:val="24"/>
          <w:szCs w:val="24"/>
        </w:rPr>
      </w:pPr>
      <w:r>
        <w:rPr>
          <w:rFonts w:hint="eastAsia"/>
          <w:b/>
          <w:sz w:val="24"/>
          <w:szCs w:val="24"/>
        </w:rPr>
        <w:t>表</w:t>
      </w:r>
      <w:r>
        <w:rPr>
          <w:b/>
          <w:sz w:val="24"/>
          <w:szCs w:val="24"/>
        </w:rPr>
        <w:t>1</w:t>
      </w:r>
      <w:r>
        <w:rPr>
          <w:rFonts w:hint="eastAsia"/>
          <w:b/>
          <w:sz w:val="24"/>
          <w:szCs w:val="24"/>
        </w:rPr>
        <w:t>1</w:t>
      </w:r>
      <w:r>
        <w:rPr>
          <w:rFonts w:hint="eastAsia"/>
          <w:b/>
          <w:sz w:val="24"/>
          <w:szCs w:val="24"/>
        </w:rPr>
        <w:t>：标签角色及说明</w:t>
      </w:r>
    </w:p>
    <w:tbl>
      <w:tblPr>
        <w:tblW w:w="5000" w:type="pct"/>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
      <w:tblGrid>
        <w:gridCol w:w="1748"/>
        <w:gridCol w:w="4802"/>
        <w:gridCol w:w="3413"/>
      </w:tblGrid>
      <w:tr w:rsidR="00BA6D37">
        <w:trPr>
          <w:trHeight w:val="680"/>
          <w:tblHeader/>
        </w:trPr>
        <w:tc>
          <w:tcPr>
            <w:tcW w:w="877" w:type="pct"/>
            <w:shd w:val="clear" w:color="auto" w:fill="auto"/>
            <w:vAlign w:val="center"/>
          </w:tcPr>
          <w:p w:rsidR="00BA6D37" w:rsidRDefault="00314976">
            <w:pPr>
              <w:spacing w:after="0" w:line="560" w:lineRule="exact"/>
              <w:jc w:val="center"/>
              <w:rPr>
                <w:rFonts w:ascii="Times New Roman" w:eastAsia="仿宋_GB2312" w:hAnsi="Times New Roman"/>
                <w:b/>
                <w:sz w:val="24"/>
                <w:szCs w:val="24"/>
              </w:rPr>
            </w:pPr>
            <w:r>
              <w:rPr>
                <w:rFonts w:ascii="Times New Roman" w:eastAsia="仿宋_GB2312" w:hAnsi="Times New Roman" w:hint="eastAsia"/>
                <w:b/>
                <w:sz w:val="24"/>
                <w:szCs w:val="24"/>
              </w:rPr>
              <w:t>标签角色</w:t>
            </w:r>
          </w:p>
        </w:tc>
        <w:tc>
          <w:tcPr>
            <w:tcW w:w="2410" w:type="pct"/>
            <w:shd w:val="clear" w:color="auto" w:fill="auto"/>
            <w:vAlign w:val="center"/>
          </w:tcPr>
          <w:p w:rsidR="00BA6D37" w:rsidRDefault="00314976">
            <w:pPr>
              <w:spacing w:after="0" w:line="560" w:lineRule="exact"/>
              <w:jc w:val="center"/>
              <w:rPr>
                <w:rFonts w:ascii="Times New Roman" w:eastAsia="仿宋_GB2312" w:hAnsi="Times New Roman"/>
                <w:b/>
                <w:sz w:val="24"/>
                <w:szCs w:val="24"/>
              </w:rPr>
            </w:pPr>
            <w:r>
              <w:rPr>
                <w:rFonts w:ascii="Times New Roman" w:eastAsia="仿宋_GB2312" w:hAnsi="Times New Roman" w:hint="eastAsia"/>
                <w:b/>
                <w:sz w:val="24"/>
                <w:szCs w:val="24"/>
              </w:rPr>
              <w:t>标签角色的定义来源</w:t>
            </w:r>
          </w:p>
        </w:tc>
        <w:tc>
          <w:tcPr>
            <w:tcW w:w="1713" w:type="pct"/>
            <w:shd w:val="clear" w:color="auto" w:fill="auto"/>
            <w:vAlign w:val="center"/>
          </w:tcPr>
          <w:p w:rsidR="00BA6D37" w:rsidRDefault="00314976">
            <w:pPr>
              <w:spacing w:after="0" w:line="560" w:lineRule="exact"/>
              <w:jc w:val="center"/>
              <w:rPr>
                <w:rFonts w:ascii="Times New Roman" w:eastAsia="仿宋_GB2312" w:hAnsi="Times New Roman"/>
                <w:b/>
                <w:sz w:val="24"/>
                <w:szCs w:val="24"/>
              </w:rPr>
            </w:pPr>
            <w:r>
              <w:rPr>
                <w:rFonts w:ascii="Times New Roman" w:eastAsia="仿宋_GB2312" w:hAnsi="Times New Roman" w:hint="eastAsia"/>
                <w:b/>
                <w:sz w:val="24"/>
                <w:szCs w:val="24"/>
              </w:rPr>
              <w:t>使用说明</w:t>
            </w:r>
          </w:p>
        </w:tc>
      </w:tr>
      <w:tr w:rsidR="00BA6D37">
        <w:trPr>
          <w:trHeight w:hRule="exact" w:val="567"/>
        </w:trPr>
        <w:tc>
          <w:tcPr>
            <w:tcW w:w="877"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标准标签</w:t>
            </w:r>
          </w:p>
        </w:tc>
        <w:tc>
          <w:tcPr>
            <w:tcW w:w="2410"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sz w:val="24"/>
                <w:szCs w:val="24"/>
              </w:rPr>
              <w:t>http://www.xbrl.org/2003/role/label</w:t>
            </w:r>
          </w:p>
        </w:tc>
        <w:tc>
          <w:tcPr>
            <w:tcW w:w="1713"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元素的标准标签</w:t>
            </w:r>
          </w:p>
        </w:tc>
      </w:tr>
      <w:tr w:rsidR="00BA6D37">
        <w:trPr>
          <w:trHeight w:hRule="exact" w:val="567"/>
        </w:trPr>
        <w:tc>
          <w:tcPr>
            <w:tcW w:w="877"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合计标签</w:t>
            </w:r>
          </w:p>
        </w:tc>
        <w:tc>
          <w:tcPr>
            <w:tcW w:w="2410"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sz w:val="24"/>
                <w:szCs w:val="24"/>
              </w:rPr>
              <w:t>http://www.xbrl.org/2003/role/totalLabel</w:t>
            </w:r>
          </w:p>
        </w:tc>
        <w:tc>
          <w:tcPr>
            <w:tcW w:w="1713"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用于表示合计类的报表概念</w:t>
            </w:r>
          </w:p>
        </w:tc>
      </w:tr>
      <w:tr w:rsidR="00BA6D37">
        <w:trPr>
          <w:trHeight w:hRule="exact" w:val="737"/>
        </w:trPr>
        <w:tc>
          <w:tcPr>
            <w:tcW w:w="877"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短标签</w:t>
            </w:r>
          </w:p>
        </w:tc>
        <w:tc>
          <w:tcPr>
            <w:tcW w:w="2410"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sz w:val="24"/>
                <w:szCs w:val="24"/>
              </w:rPr>
              <w:t>http://www.xbrl.org/2003/role/terseLabel</w:t>
            </w:r>
          </w:p>
        </w:tc>
        <w:tc>
          <w:tcPr>
            <w:tcW w:w="1713"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在上下文环境中，可以对标签词汇进行省略描述时使用</w:t>
            </w:r>
          </w:p>
        </w:tc>
      </w:tr>
      <w:tr w:rsidR="00BA6D37">
        <w:trPr>
          <w:trHeight w:hRule="exact" w:val="737"/>
        </w:trPr>
        <w:tc>
          <w:tcPr>
            <w:tcW w:w="877"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长标签</w:t>
            </w:r>
          </w:p>
        </w:tc>
        <w:tc>
          <w:tcPr>
            <w:tcW w:w="2410"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sz w:val="24"/>
                <w:szCs w:val="24"/>
              </w:rPr>
              <w:t>http://www.xbrl.org/2003/role/verboseLabel</w:t>
            </w:r>
          </w:p>
        </w:tc>
        <w:tc>
          <w:tcPr>
            <w:tcW w:w="1713"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在上下文环境中，可以对标签词汇进行详细描述时使用</w:t>
            </w:r>
          </w:p>
        </w:tc>
      </w:tr>
      <w:tr w:rsidR="00BA6D37">
        <w:trPr>
          <w:trHeight w:hRule="exact" w:val="1077"/>
        </w:trPr>
        <w:tc>
          <w:tcPr>
            <w:tcW w:w="877"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t>期初标签</w:t>
            </w:r>
          </w:p>
        </w:tc>
        <w:tc>
          <w:tcPr>
            <w:tcW w:w="2410"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sz w:val="24"/>
                <w:szCs w:val="24"/>
              </w:rPr>
              <w:t>http://www.xbrl.org/2003/role/periodStartLabel</w:t>
            </w:r>
          </w:p>
        </w:tc>
        <w:tc>
          <w:tcPr>
            <w:tcW w:w="1713" w:type="pct"/>
            <w:vMerge w:val="restart"/>
            <w:shd w:val="clear" w:color="auto" w:fill="auto"/>
            <w:vAlign w:val="center"/>
          </w:tcPr>
          <w:p w:rsidR="00BA6D37" w:rsidRDefault="00314976">
            <w:pPr>
              <w:pStyle w:val="Default"/>
              <w:jc w:val="both"/>
              <w:rPr>
                <w:sz w:val="23"/>
                <w:szCs w:val="23"/>
              </w:rPr>
            </w:pPr>
            <w:r>
              <w:rPr>
                <w:rFonts w:ascii="Times New Roman" w:hAnsi="Times New Roman" w:cstheme="minorBidi" w:hint="eastAsia"/>
                <w:color w:val="auto"/>
              </w:rPr>
              <w:t>用于表示时点类报表概念的期初、期末值</w:t>
            </w:r>
          </w:p>
        </w:tc>
      </w:tr>
      <w:tr w:rsidR="00BA6D37">
        <w:trPr>
          <w:trHeight w:hRule="exact" w:val="567"/>
        </w:trPr>
        <w:tc>
          <w:tcPr>
            <w:tcW w:w="877"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hint="eastAsia"/>
                <w:sz w:val="24"/>
                <w:szCs w:val="24"/>
              </w:rPr>
              <w:lastRenderedPageBreak/>
              <w:t>期末标签</w:t>
            </w:r>
          </w:p>
        </w:tc>
        <w:tc>
          <w:tcPr>
            <w:tcW w:w="2410" w:type="pct"/>
            <w:shd w:val="clear" w:color="auto" w:fill="auto"/>
            <w:vAlign w:val="center"/>
          </w:tcPr>
          <w:p w:rsidR="00BA6D37" w:rsidRDefault="00314976">
            <w:pPr>
              <w:spacing w:after="0" w:line="240" w:lineRule="auto"/>
              <w:jc w:val="both"/>
              <w:rPr>
                <w:rFonts w:ascii="Times New Roman" w:eastAsia="仿宋_GB2312" w:hAnsi="Times New Roman"/>
                <w:sz w:val="24"/>
                <w:szCs w:val="24"/>
              </w:rPr>
            </w:pPr>
            <w:r>
              <w:rPr>
                <w:rFonts w:ascii="Times New Roman" w:eastAsia="仿宋_GB2312" w:hAnsi="Times New Roman"/>
                <w:sz w:val="24"/>
                <w:szCs w:val="24"/>
              </w:rPr>
              <w:t>http://www.xbrl.org/2003/role/periodEndLabel</w:t>
            </w:r>
          </w:p>
        </w:tc>
        <w:tc>
          <w:tcPr>
            <w:tcW w:w="1713" w:type="pct"/>
            <w:vMerge/>
            <w:shd w:val="clear" w:color="auto" w:fill="auto"/>
            <w:vAlign w:val="center"/>
          </w:tcPr>
          <w:p w:rsidR="00BA6D37" w:rsidRDefault="00BA6D37">
            <w:pPr>
              <w:spacing w:after="0" w:line="240" w:lineRule="auto"/>
              <w:jc w:val="both"/>
              <w:rPr>
                <w:rFonts w:ascii="Times New Roman" w:eastAsia="仿宋_GB2312" w:hAnsi="Times New Roman"/>
                <w:sz w:val="24"/>
                <w:szCs w:val="24"/>
              </w:rPr>
            </w:pPr>
          </w:p>
        </w:tc>
      </w:tr>
    </w:tbl>
    <w:p w:rsidR="00BA6D37" w:rsidRDefault="00314976">
      <w:pPr>
        <w:pStyle w:val="af5"/>
        <w:wordWrap/>
        <w:spacing w:after="0" w:line="560" w:lineRule="exact"/>
      </w:pPr>
      <w:r>
        <w:rPr>
          <w:rFonts w:hint="eastAsia"/>
        </w:rPr>
        <w:t>（</w:t>
      </w:r>
      <w:r>
        <w:t>3</w:t>
      </w:r>
      <w:r>
        <w:rPr>
          <w:rFonts w:hint="eastAsia"/>
        </w:rPr>
        <w:t>）计算链接库</w:t>
      </w:r>
    </w:p>
    <w:p w:rsidR="00BA6D37" w:rsidRDefault="00314976">
      <w:pPr>
        <w:pStyle w:val="af1"/>
        <w:wordWrap/>
        <w:spacing w:line="560" w:lineRule="exact"/>
      </w:pPr>
      <w:r>
        <w:rPr>
          <w:rFonts w:eastAsia="仿宋_GB2312" w:cs="Arial" w:hint="eastAsia"/>
          <w:szCs w:val="32"/>
        </w:rPr>
        <w:t>计算链接库用来定义元素与元素在计算上的层级关系和合计关系。父元素等于子元素的合计，子元素可以设置顺序、权重、加减关系。</w:t>
      </w:r>
    </w:p>
    <w:p w:rsidR="00BA6D37" w:rsidRDefault="00314976">
      <w:pPr>
        <w:pStyle w:val="af1"/>
        <w:wordWrap/>
        <w:spacing w:line="560" w:lineRule="exact"/>
      </w:pPr>
      <w:r>
        <w:rPr>
          <w:rFonts w:hint="eastAsia"/>
        </w:rPr>
        <w:t>三、报送报告的私募管理人或其他机构实例</w:t>
      </w:r>
      <w:r>
        <w:t>文档</w:t>
      </w:r>
      <w:r>
        <w:rPr>
          <w:rFonts w:hint="eastAsia"/>
        </w:rPr>
        <w:t>编制指南</w:t>
      </w:r>
    </w:p>
    <w:p w:rsidR="00BA6D37" w:rsidRDefault="00314976">
      <w:pPr>
        <w:pStyle w:val="af4"/>
        <w:wordWrap/>
        <w:spacing w:after="0" w:line="560" w:lineRule="exact"/>
      </w:pPr>
      <w:r>
        <w:rPr>
          <w:rFonts w:hint="eastAsia"/>
        </w:rPr>
        <w:t>在了解分类标准后，报送报告的私募管理人或其他机构应以入口</w:t>
      </w:r>
      <w:r>
        <w:t>模式</w:t>
      </w:r>
      <w:r>
        <w:rPr>
          <w:rFonts w:hint="eastAsia"/>
        </w:rPr>
        <w:t>文件为基础编制对应报告的实例文档。创建实例文档所需的三个要素分别为事实值（</w:t>
      </w:r>
      <w:r>
        <w:rPr>
          <w:rFonts w:hint="eastAsia"/>
        </w:rPr>
        <w:t>fact</w:t>
      </w:r>
      <w:r>
        <w:t>）</w:t>
      </w:r>
      <w:r>
        <w:rPr>
          <w:rFonts w:hint="eastAsia"/>
        </w:rPr>
        <w:t>、上下文（</w:t>
      </w:r>
      <w:r>
        <w:rPr>
          <w:rFonts w:hint="eastAsia"/>
        </w:rPr>
        <w:t>context</w:t>
      </w:r>
      <w:r>
        <w:rPr>
          <w:rFonts w:hint="eastAsia"/>
        </w:rPr>
        <w:t>）和单位（</w:t>
      </w:r>
      <w:r>
        <w:t>unit</w:t>
      </w:r>
      <w:r>
        <w:rPr>
          <w:rFonts w:hint="eastAsia"/>
        </w:rPr>
        <w:t>）。通过确定这三个要素，并将这些信息输入到</w:t>
      </w:r>
      <w:r>
        <w:t>XBRL</w:t>
      </w:r>
      <w:r>
        <w:rPr>
          <w:rFonts w:hint="eastAsia"/>
        </w:rPr>
        <w:t>工具软件中，就可以在分类标准的基础上创建出实例文档。</w:t>
      </w:r>
    </w:p>
    <w:p w:rsidR="00BA6D37" w:rsidRDefault="00314976">
      <w:pPr>
        <w:pStyle w:val="af2"/>
        <w:wordWrap/>
        <w:spacing w:line="560" w:lineRule="exact"/>
      </w:pPr>
      <w:r>
        <w:rPr>
          <w:rFonts w:hint="eastAsia"/>
        </w:rPr>
        <w:t>（</w:t>
      </w:r>
      <w:r>
        <w:t>一）</w:t>
      </w:r>
      <w:r>
        <w:rPr>
          <w:rFonts w:hint="eastAsia"/>
        </w:rPr>
        <w:t>事实值</w:t>
      </w:r>
    </w:p>
    <w:p w:rsidR="00BA6D37" w:rsidRDefault="00314976">
      <w:pPr>
        <w:pStyle w:val="af4"/>
        <w:wordWrap/>
        <w:spacing w:after="0" w:line="560" w:lineRule="exact"/>
      </w:pPr>
      <w:r>
        <w:rPr>
          <w:rFonts w:hint="eastAsia"/>
        </w:rPr>
        <w:t>事实值就是报告中的实际内容，例如对于“农、林、牧、渔业股票投资公允价值”这个年度报告期末投资组合情况的披露项目，其事实值就是“农、林、牧、渔业股票投资公允价值”在报告中披露的金额。通过为元素赋值，并指定上下文、单位和精度属性，来完成对于事实值的完整定义。赋予实例文档的事实值可为数值（金额、十进制数字、股数等）或非数值数据（字符串或者转义文本，例如</w:t>
      </w:r>
      <w:r>
        <w:rPr>
          <w:rFonts w:hint="eastAsia"/>
        </w:rPr>
        <w:t>XHTML</w:t>
      </w:r>
      <w:r>
        <w:rPr>
          <w:rFonts w:hint="eastAsia"/>
        </w:rPr>
        <w:t>格式内容）。事实值也可为日期等类型。表</w:t>
      </w:r>
      <w:r>
        <w:t>1</w:t>
      </w:r>
      <w:r>
        <w:rPr>
          <w:rFonts w:hint="eastAsia"/>
        </w:rPr>
        <w:t>2</w:t>
      </w:r>
      <w:r>
        <w:rPr>
          <w:rFonts w:hint="eastAsia"/>
        </w:rPr>
        <w:t>列示了部分事实值。</w:t>
      </w:r>
    </w:p>
    <w:p w:rsidR="00BA6D37" w:rsidRDefault="00314976">
      <w:pPr>
        <w:pStyle w:val="af4"/>
        <w:wordWrap/>
        <w:spacing w:after="0" w:line="560" w:lineRule="exact"/>
        <w:ind w:firstLineChars="0" w:firstLine="0"/>
        <w:jc w:val="center"/>
      </w:pPr>
      <w:r>
        <w:rPr>
          <w:rFonts w:hint="eastAsia"/>
          <w:b/>
          <w:sz w:val="24"/>
          <w:szCs w:val="24"/>
        </w:rPr>
        <w:t>表</w:t>
      </w:r>
      <w:r>
        <w:rPr>
          <w:b/>
          <w:sz w:val="24"/>
          <w:szCs w:val="24"/>
        </w:rPr>
        <w:t>1</w:t>
      </w:r>
      <w:r>
        <w:rPr>
          <w:rFonts w:hint="eastAsia"/>
          <w:b/>
          <w:sz w:val="24"/>
          <w:szCs w:val="24"/>
        </w:rPr>
        <w:t>2</w:t>
      </w:r>
      <w:r>
        <w:rPr>
          <w:rFonts w:hint="eastAsia"/>
          <w:b/>
          <w:sz w:val="24"/>
          <w:szCs w:val="24"/>
        </w:rPr>
        <w:t>：事实值举例</w:t>
      </w:r>
    </w:p>
    <w:tbl>
      <w:tblPr>
        <w:tblW w:w="5000" w:type="pct"/>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4322"/>
        <w:gridCol w:w="2869"/>
      </w:tblGrid>
      <w:tr w:rsidR="00BA6D37">
        <w:trPr>
          <w:trHeight w:val="435"/>
          <w:jc w:val="center"/>
        </w:trPr>
        <w:tc>
          <w:tcPr>
            <w:tcW w:w="1391" w:type="pct"/>
            <w:shd w:val="clear" w:color="auto" w:fill="auto"/>
            <w:vAlign w:val="center"/>
          </w:tcPr>
          <w:p w:rsidR="00BA6D37" w:rsidRDefault="00314976">
            <w:pPr>
              <w:spacing w:after="0" w:line="560" w:lineRule="exact"/>
              <w:jc w:val="center"/>
              <w:rPr>
                <w:rFonts w:ascii="Times New Roman" w:eastAsia="仿宋_GB2312" w:hAnsi="Times New Roman"/>
                <w:b/>
                <w:color w:val="000000"/>
                <w:sz w:val="24"/>
                <w:szCs w:val="24"/>
              </w:rPr>
            </w:pPr>
            <w:r>
              <w:rPr>
                <w:rFonts w:ascii="Times New Roman" w:eastAsia="仿宋_GB2312" w:hAnsi="Times New Roman" w:hint="eastAsia"/>
                <w:b/>
                <w:color w:val="000000"/>
                <w:sz w:val="24"/>
                <w:szCs w:val="24"/>
              </w:rPr>
              <w:t>数值</w:t>
            </w:r>
            <w:r>
              <w:rPr>
                <w:rFonts w:ascii="Times New Roman" w:eastAsia="仿宋_GB2312" w:hAnsi="Times New Roman"/>
                <w:b/>
                <w:color w:val="000000"/>
                <w:sz w:val="24"/>
                <w:szCs w:val="24"/>
              </w:rPr>
              <w:t>/</w:t>
            </w:r>
            <w:r>
              <w:rPr>
                <w:rFonts w:ascii="Times New Roman" w:eastAsia="仿宋_GB2312" w:hAnsi="Times New Roman" w:hint="eastAsia"/>
                <w:b/>
                <w:color w:val="000000"/>
                <w:sz w:val="24"/>
                <w:szCs w:val="24"/>
              </w:rPr>
              <w:t>非数值</w:t>
            </w:r>
          </w:p>
        </w:tc>
        <w:tc>
          <w:tcPr>
            <w:tcW w:w="2169" w:type="pct"/>
            <w:shd w:val="clear" w:color="auto" w:fill="auto"/>
            <w:vAlign w:val="center"/>
          </w:tcPr>
          <w:p w:rsidR="00BA6D37" w:rsidRDefault="00314976">
            <w:pPr>
              <w:spacing w:after="0" w:line="560" w:lineRule="exact"/>
              <w:jc w:val="center"/>
              <w:rPr>
                <w:rFonts w:ascii="Times New Roman" w:eastAsia="仿宋_GB2312" w:hAnsi="Times New Roman"/>
                <w:b/>
                <w:color w:val="000000"/>
                <w:sz w:val="24"/>
                <w:szCs w:val="24"/>
              </w:rPr>
            </w:pPr>
            <w:r>
              <w:rPr>
                <w:rFonts w:ascii="Times New Roman" w:eastAsia="仿宋_GB2312" w:hAnsi="Times New Roman" w:hint="eastAsia"/>
                <w:b/>
                <w:color w:val="000000"/>
                <w:sz w:val="24"/>
                <w:szCs w:val="24"/>
              </w:rPr>
              <w:t>披露内容</w:t>
            </w:r>
          </w:p>
        </w:tc>
        <w:tc>
          <w:tcPr>
            <w:tcW w:w="1440" w:type="pct"/>
            <w:shd w:val="clear" w:color="auto" w:fill="auto"/>
            <w:vAlign w:val="center"/>
          </w:tcPr>
          <w:p w:rsidR="00BA6D37" w:rsidRDefault="00314976">
            <w:pPr>
              <w:spacing w:after="0" w:line="560" w:lineRule="exact"/>
              <w:jc w:val="center"/>
              <w:rPr>
                <w:rFonts w:ascii="Times New Roman" w:eastAsia="仿宋_GB2312" w:hAnsi="Times New Roman"/>
                <w:b/>
                <w:color w:val="000000"/>
                <w:sz w:val="24"/>
                <w:szCs w:val="24"/>
              </w:rPr>
            </w:pPr>
            <w:r>
              <w:rPr>
                <w:rFonts w:ascii="Times New Roman" w:eastAsia="仿宋_GB2312" w:hAnsi="Times New Roman" w:hint="eastAsia"/>
                <w:b/>
                <w:color w:val="000000"/>
                <w:sz w:val="24"/>
                <w:szCs w:val="24"/>
              </w:rPr>
              <w:t>事实值</w:t>
            </w:r>
          </w:p>
        </w:tc>
      </w:tr>
      <w:tr w:rsidR="00BA6D37">
        <w:trPr>
          <w:trHeight w:val="435"/>
          <w:jc w:val="center"/>
        </w:trPr>
        <w:tc>
          <w:tcPr>
            <w:tcW w:w="1391"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数值（金额）</w:t>
            </w:r>
          </w:p>
        </w:tc>
        <w:tc>
          <w:tcPr>
            <w:tcW w:w="2169"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农、林、牧、渔业股票投资公允价值</w:t>
            </w:r>
          </w:p>
        </w:tc>
        <w:tc>
          <w:tcPr>
            <w:tcW w:w="1440"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Times New Roman" w:eastAsia="仿宋_GB2312" w:hAnsi="Times New Roman"/>
                <w:color w:val="000000"/>
                <w:sz w:val="24"/>
                <w:szCs w:val="24"/>
              </w:rPr>
              <w:t>1900000000</w:t>
            </w:r>
          </w:p>
        </w:tc>
      </w:tr>
      <w:tr w:rsidR="00BA6D37">
        <w:trPr>
          <w:trHeight w:val="435"/>
          <w:jc w:val="center"/>
        </w:trPr>
        <w:tc>
          <w:tcPr>
            <w:tcW w:w="1391"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数值（百分比）</w:t>
            </w:r>
          </w:p>
        </w:tc>
        <w:tc>
          <w:tcPr>
            <w:tcW w:w="2169"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仿宋_GB2312" w:eastAsia="仿宋_GB2312" w:hAnsi="MS PGothic" w:cs="宋体" w:hint="eastAsia"/>
                <w:sz w:val="24"/>
                <w:szCs w:val="24"/>
              </w:rPr>
              <w:t>农、林、牧、渔业股票投资占基金资产净值比例</w:t>
            </w:r>
          </w:p>
        </w:tc>
        <w:tc>
          <w:tcPr>
            <w:tcW w:w="1440"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Times New Roman" w:eastAsia="仿宋_GB2312" w:hAnsi="Times New Roman"/>
                <w:color w:val="000000"/>
                <w:sz w:val="24"/>
                <w:szCs w:val="24"/>
              </w:rPr>
              <w:t>10%</w:t>
            </w:r>
          </w:p>
        </w:tc>
      </w:tr>
      <w:tr w:rsidR="00BA6D37">
        <w:trPr>
          <w:trHeight w:val="435"/>
          <w:jc w:val="center"/>
        </w:trPr>
        <w:tc>
          <w:tcPr>
            <w:tcW w:w="1391"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非数值（字符串）</w:t>
            </w:r>
          </w:p>
        </w:tc>
        <w:tc>
          <w:tcPr>
            <w:tcW w:w="2169"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基金名称</w:t>
            </w:r>
          </w:p>
        </w:tc>
        <w:tc>
          <w:tcPr>
            <w:tcW w:w="1440" w:type="pct"/>
            <w:vAlign w:val="center"/>
          </w:tcPr>
          <w:p w:rsidR="00BA6D37" w:rsidRDefault="00314976">
            <w:pPr>
              <w:spacing w:after="0" w:line="560" w:lineRule="exact"/>
              <w:jc w:val="both"/>
              <w:rPr>
                <w:rFonts w:ascii="Times New Roman" w:eastAsia="仿宋_GB2312" w:hAnsi="Times New Roman"/>
                <w:color w:val="000000"/>
                <w:sz w:val="24"/>
                <w:szCs w:val="24"/>
              </w:rPr>
            </w:pPr>
            <w:r>
              <w:rPr>
                <w:rFonts w:ascii="Times New Roman" w:eastAsia="仿宋_GB2312" w:hAnsi="Times New Roman" w:hint="eastAsia"/>
                <w:color w:val="000000"/>
                <w:sz w:val="24"/>
                <w:szCs w:val="24"/>
              </w:rPr>
              <w:t>XX</w:t>
            </w:r>
            <w:r>
              <w:rPr>
                <w:rFonts w:ascii="Times New Roman" w:eastAsia="仿宋_GB2312" w:hAnsi="Times New Roman" w:hint="eastAsia"/>
                <w:color w:val="000000"/>
                <w:sz w:val="24"/>
                <w:szCs w:val="24"/>
              </w:rPr>
              <w:t>基金</w:t>
            </w:r>
          </w:p>
        </w:tc>
      </w:tr>
    </w:tbl>
    <w:p w:rsidR="00BA6D37" w:rsidRDefault="00314976">
      <w:pPr>
        <w:pStyle w:val="af4"/>
        <w:wordWrap/>
        <w:spacing w:after="0" w:line="560" w:lineRule="exact"/>
      </w:pPr>
      <w:r>
        <w:rPr>
          <w:rFonts w:hint="eastAsia"/>
        </w:rPr>
        <w:lastRenderedPageBreak/>
        <w:t>XBRL</w:t>
      </w:r>
      <w:r>
        <w:rPr>
          <w:rFonts w:hint="eastAsia"/>
        </w:rPr>
        <w:t>不允许截断事实值，例如对于金额“</w:t>
      </w:r>
      <w:r>
        <w:rPr>
          <w:rFonts w:hint="eastAsia"/>
        </w:rPr>
        <w:t>RMB 6,000,000</w:t>
      </w:r>
      <w:r>
        <w:rPr>
          <w:rFonts w:hint="eastAsia"/>
        </w:rPr>
        <w:t>”，不能报告为金额“</w:t>
      </w:r>
      <w:r>
        <w:rPr>
          <w:rFonts w:hint="eastAsia"/>
        </w:rPr>
        <w:t>RMB 6</w:t>
      </w:r>
      <w:r>
        <w:rPr>
          <w:rFonts w:hint="eastAsia"/>
        </w:rPr>
        <w:t>”同时披露该数值的单位为百万。对于数值型数据，报送报告的私募管理人或其他机构应输入完整数据。例如</w:t>
      </w:r>
      <w:r>
        <w:t>，金额型的元素</w:t>
      </w:r>
      <w:r>
        <w:rPr>
          <w:rFonts w:hint="eastAsia"/>
        </w:rPr>
        <w:t>应统一以元为单位。</w:t>
      </w:r>
    </w:p>
    <w:p w:rsidR="00BA6D37" w:rsidRDefault="00314976">
      <w:pPr>
        <w:pStyle w:val="af2"/>
        <w:wordWrap/>
        <w:spacing w:line="560" w:lineRule="exact"/>
      </w:pPr>
      <w:r>
        <w:rPr>
          <w:rFonts w:hint="eastAsia"/>
        </w:rPr>
        <w:t>（二</w:t>
      </w:r>
      <w:r>
        <w:t>）</w:t>
      </w:r>
      <w:r>
        <w:rPr>
          <w:rFonts w:hint="eastAsia"/>
        </w:rPr>
        <w:t>上下文</w:t>
      </w:r>
    </w:p>
    <w:p w:rsidR="00BA6D37" w:rsidRDefault="00314976">
      <w:pPr>
        <w:pStyle w:val="af4"/>
        <w:wordWrap/>
        <w:spacing w:after="0" w:line="560" w:lineRule="exact"/>
        <w:rPr>
          <w:color w:val="000000"/>
          <w:szCs w:val="24"/>
          <w:lang w:val="en-GB"/>
        </w:rPr>
      </w:pPr>
      <w:r>
        <w:rPr>
          <w:rFonts w:hint="eastAsia"/>
        </w:rPr>
        <w:t>每个事实值都应通过</w:t>
      </w:r>
      <w:r>
        <w:rPr>
          <w:rFonts w:hint="eastAsia"/>
        </w:rPr>
        <w:t>contextRef</w:t>
      </w:r>
      <w:r>
        <w:rPr>
          <w:rFonts w:hint="eastAsia"/>
        </w:rPr>
        <w:t>属性赋予的上下文</w:t>
      </w:r>
      <w:r>
        <w:rPr>
          <w:rFonts w:hint="eastAsia"/>
        </w:rPr>
        <w:t>ID</w:t>
      </w:r>
      <w:r>
        <w:rPr>
          <w:rFonts w:hint="eastAsia"/>
        </w:rPr>
        <w:t>指向预定义的上下文（</w:t>
      </w:r>
      <w:r>
        <w:rPr>
          <w:rFonts w:hint="eastAsia"/>
        </w:rPr>
        <w:t>context</w:t>
      </w:r>
      <w:r>
        <w:rPr>
          <w:rFonts w:hint="eastAsia"/>
        </w:rPr>
        <w:t>）。</w:t>
      </w:r>
      <w:r>
        <w:rPr>
          <w:color w:val="000000"/>
          <w:szCs w:val="24"/>
          <w:lang w:val="en-GB"/>
        </w:rPr>
        <w:t>通过指定上下文，才能够确定事实值的具体含义</w:t>
      </w:r>
      <w:r>
        <w:rPr>
          <w:rFonts w:hint="eastAsia"/>
          <w:color w:val="000000"/>
          <w:szCs w:val="24"/>
          <w:lang w:val="en-GB"/>
        </w:rPr>
        <w:t>。</w:t>
      </w:r>
    </w:p>
    <w:p w:rsidR="00BA6D37" w:rsidRDefault="00314976">
      <w:pPr>
        <w:pStyle w:val="af4"/>
        <w:wordWrap/>
        <w:spacing w:after="0" w:line="560" w:lineRule="exact"/>
      </w:pPr>
      <w:r>
        <w:rPr>
          <w:rFonts w:hint="eastAsia"/>
        </w:rPr>
        <w:t>上下文要包括：时期信息（</w:t>
      </w:r>
      <w:r>
        <w:rPr>
          <w:rFonts w:hint="eastAsia"/>
        </w:rPr>
        <w:t>period</w:t>
      </w:r>
      <w:r>
        <w:rPr>
          <w:rFonts w:hint="eastAsia"/>
        </w:rPr>
        <w:t>）和基金分级信息。</w:t>
      </w:r>
      <w:r>
        <w:rPr>
          <w:rFonts w:hint="eastAsia"/>
          <w:color w:val="000000"/>
          <w:szCs w:val="24"/>
          <w:lang w:val="en-GB"/>
        </w:rPr>
        <w:t>时期信息</w:t>
      </w:r>
      <w:r>
        <w:rPr>
          <w:color w:val="000000"/>
          <w:szCs w:val="24"/>
          <w:lang w:val="en-GB"/>
        </w:rPr>
        <w:t>是指事实值所对应的日期或期间</w:t>
      </w:r>
      <w:r>
        <w:rPr>
          <w:rFonts w:hint="eastAsia"/>
          <w:color w:val="000000"/>
          <w:szCs w:val="24"/>
          <w:lang w:val="en-GB"/>
        </w:rPr>
        <w:t>，</w:t>
      </w:r>
      <w:r>
        <w:rPr>
          <w:rFonts w:hint="eastAsia"/>
        </w:rPr>
        <w:t>时期信息应采用</w:t>
      </w:r>
      <w:r>
        <w:rPr>
          <w:rFonts w:hint="eastAsia"/>
        </w:rPr>
        <w:t>yyyy-mm-dd</w:t>
      </w:r>
      <w:r>
        <w:rPr>
          <w:rFonts w:hint="eastAsia"/>
        </w:rPr>
        <w:t>的日期格式；分级基金级别是指事实值所对应的分级基金的级别。</w:t>
      </w:r>
    </w:p>
    <w:p w:rsidR="00BA6D37" w:rsidRDefault="00260349">
      <w:pPr>
        <w:pStyle w:val="af4"/>
        <w:wordWrap/>
        <w:spacing w:after="0" w:line="560" w:lineRule="exact"/>
      </w:pPr>
      <w:bookmarkStart w:id="21" w:name="OLE_LINK12"/>
      <w:bookmarkStart w:id="22" w:name="OLE_LINK9"/>
      <w:bookmarkStart w:id="23" w:name="OLE_LINK11"/>
      <w:bookmarkStart w:id="24" w:name="OLE_LINK10"/>
      <w:r>
        <w:t>分类</w:t>
      </w:r>
      <w:r w:rsidR="00314976">
        <w:t>中指标</w:t>
      </w:r>
      <w:r w:rsidR="00314976">
        <w:rPr>
          <w:rFonts w:hint="eastAsia"/>
        </w:rPr>
        <w:t>采集</w:t>
      </w:r>
      <w:r w:rsidR="00314976">
        <w:t>的</w:t>
      </w:r>
      <w:r w:rsidR="00314976">
        <w:rPr>
          <w:rFonts w:hint="eastAsia"/>
        </w:rPr>
        <w:t>时期</w:t>
      </w:r>
      <w:r w:rsidR="00314976">
        <w:t>信息</w:t>
      </w:r>
      <w:r w:rsidR="00314976">
        <w:rPr>
          <w:rFonts w:hint="eastAsia"/>
        </w:rPr>
        <w:t>存在</w:t>
      </w:r>
      <w:r w:rsidR="00314976">
        <w:t>“</w:t>
      </w:r>
      <w:r w:rsidR="00314976">
        <w:rPr>
          <w:rFonts w:hint="eastAsia"/>
        </w:rPr>
        <w:t>年末</w:t>
      </w:r>
      <w:r w:rsidR="00314976">
        <w:t>”</w:t>
      </w:r>
      <w:r w:rsidR="00314976">
        <w:rPr>
          <w:rFonts w:hint="eastAsia"/>
        </w:rPr>
        <w:t>、</w:t>
      </w:r>
      <w:r w:rsidR="00314976">
        <w:t>“</w:t>
      </w:r>
      <w:r w:rsidR="00314976">
        <w:rPr>
          <w:rFonts w:hint="eastAsia"/>
        </w:rPr>
        <w:t>上年末</w:t>
      </w:r>
      <w:r w:rsidR="00314976">
        <w:t>”</w:t>
      </w:r>
      <w:r w:rsidR="00314976">
        <w:rPr>
          <w:rFonts w:hint="eastAsia"/>
        </w:rPr>
        <w:t>、</w:t>
      </w:r>
      <w:r w:rsidR="00314976">
        <w:t>“</w:t>
      </w:r>
      <w:r w:rsidR="00314976">
        <w:rPr>
          <w:rFonts w:hint="eastAsia"/>
        </w:rPr>
        <w:t>前年末</w:t>
      </w:r>
      <w:r w:rsidR="00314976">
        <w:t>”</w:t>
      </w:r>
      <w:r w:rsidR="00314976">
        <w:rPr>
          <w:rFonts w:hint="eastAsia"/>
        </w:rPr>
        <w:t>、</w:t>
      </w:r>
      <w:r w:rsidR="00314976">
        <w:t xml:space="preserve"> “</w:t>
      </w:r>
      <w:r w:rsidR="00314976">
        <w:t>期初</w:t>
      </w:r>
      <w:r w:rsidR="00314976">
        <w:t>”</w:t>
      </w:r>
      <w:r w:rsidR="00314976">
        <w:rPr>
          <w:rFonts w:hint="eastAsia"/>
        </w:rPr>
        <w:t>、</w:t>
      </w:r>
      <w:r w:rsidR="00314976">
        <w:t>“</w:t>
      </w:r>
      <w:r w:rsidR="00314976">
        <w:rPr>
          <w:rFonts w:hint="eastAsia"/>
        </w:rPr>
        <w:t>期</w:t>
      </w:r>
      <w:r w:rsidR="00314976">
        <w:t>末</w:t>
      </w:r>
      <w:r w:rsidR="00314976">
        <w:t>”</w:t>
      </w:r>
      <w:r w:rsidR="00314976">
        <w:rPr>
          <w:rFonts w:hint="eastAsia"/>
        </w:rPr>
        <w:t>、</w:t>
      </w:r>
      <w:r w:rsidR="00314976">
        <w:t>“</w:t>
      </w:r>
      <w:r w:rsidR="00314976">
        <w:rPr>
          <w:rFonts w:hint="eastAsia"/>
        </w:rPr>
        <w:t>本期</w:t>
      </w:r>
      <w:r w:rsidR="00314976">
        <w:t>”</w:t>
      </w:r>
      <w:r w:rsidR="00314976">
        <w:rPr>
          <w:rFonts w:hint="eastAsia"/>
        </w:rPr>
        <w:t>、</w:t>
      </w:r>
      <w:r w:rsidR="00314976">
        <w:t>“</w:t>
      </w:r>
      <w:r w:rsidR="00314976">
        <w:rPr>
          <w:rFonts w:hint="eastAsia"/>
        </w:rPr>
        <w:t>上年度可比期间</w:t>
      </w:r>
      <w:r w:rsidR="00314976">
        <w:t>”</w:t>
      </w:r>
      <w:r w:rsidR="00314976">
        <w:rPr>
          <w:rFonts w:hint="eastAsia"/>
        </w:rPr>
        <w:t>等多种情况，为了</w:t>
      </w:r>
      <w:r w:rsidR="00314976">
        <w:t>确保填报的准确性</w:t>
      </w:r>
      <w:r w:rsidR="00314976">
        <w:rPr>
          <w:rFonts w:hint="eastAsia"/>
        </w:rPr>
        <w:t>以及不同实例文档对同一</w:t>
      </w:r>
      <w:r w:rsidR="00314976">
        <w:t>指标所</w:t>
      </w:r>
      <w:r w:rsidR="00314976">
        <w:rPr>
          <w:rFonts w:hint="eastAsia"/>
        </w:rPr>
        <w:t>选</w:t>
      </w:r>
      <w:r w:rsidR="00314976">
        <w:t>时期</w:t>
      </w:r>
      <w:r w:rsidR="00314976">
        <w:rPr>
          <w:rFonts w:hint="eastAsia"/>
        </w:rPr>
        <w:t>信息的一致性，现对各指标时期信息的填报规范</w:t>
      </w:r>
      <w:r w:rsidR="00314976">
        <w:t>如下</w:t>
      </w:r>
      <w:r w:rsidR="00314976">
        <w:rPr>
          <w:rFonts w:hint="eastAsia"/>
        </w:rPr>
        <w:t>：</w:t>
      </w:r>
    </w:p>
    <w:p w:rsidR="00BA6D37" w:rsidRDefault="00314976">
      <w:pPr>
        <w:pStyle w:val="af4"/>
        <w:numPr>
          <w:ilvl w:val="0"/>
          <w:numId w:val="6"/>
        </w:numPr>
        <w:wordWrap/>
        <w:spacing w:after="0" w:line="560" w:lineRule="exact"/>
        <w:ind w:firstLineChars="0"/>
      </w:pPr>
      <w:r>
        <w:rPr>
          <w:rFonts w:hint="eastAsia"/>
        </w:rPr>
        <w:t>期间类型</w:t>
      </w:r>
      <w:r>
        <w:t>元素</w:t>
      </w:r>
    </w:p>
    <w:p w:rsidR="00BA6D37" w:rsidRDefault="00314976">
      <w:pPr>
        <w:pStyle w:val="af4"/>
        <w:wordWrap/>
        <w:spacing w:after="0" w:line="560" w:lineRule="exact"/>
      </w:pPr>
      <w:r>
        <w:rPr>
          <w:rFonts w:hint="eastAsia"/>
        </w:rPr>
        <w:t>对于</w:t>
      </w:r>
      <w:r>
        <w:t>期间类型的</w:t>
      </w:r>
      <w:r>
        <w:rPr>
          <w:rFonts w:hint="eastAsia"/>
        </w:rPr>
        <w:t>元素</w:t>
      </w:r>
      <w:r>
        <w:t>，</w:t>
      </w:r>
      <w:r>
        <w:rPr>
          <w:rFonts w:hint="eastAsia"/>
        </w:rPr>
        <w:t>应采用期初时间点到期末时间点作为上下文</w:t>
      </w:r>
      <w:r>
        <w:t>。</w:t>
      </w:r>
    </w:p>
    <w:p w:rsidR="00BA6D37" w:rsidRDefault="00314976">
      <w:pPr>
        <w:pStyle w:val="af4"/>
        <w:numPr>
          <w:ilvl w:val="0"/>
          <w:numId w:val="6"/>
        </w:numPr>
        <w:wordWrap/>
        <w:spacing w:after="0" w:line="560" w:lineRule="exact"/>
        <w:ind w:firstLineChars="0"/>
      </w:pPr>
      <w:r>
        <w:rPr>
          <w:rFonts w:hint="eastAsia"/>
        </w:rPr>
        <w:t>时点类型</w:t>
      </w:r>
      <w:r>
        <w:t>元素</w:t>
      </w:r>
    </w:p>
    <w:p w:rsidR="00BA6D37" w:rsidRDefault="00314976">
      <w:pPr>
        <w:pStyle w:val="af4"/>
        <w:wordWrap/>
        <w:spacing w:after="0" w:line="560" w:lineRule="exact"/>
      </w:pPr>
      <w:r>
        <w:rPr>
          <w:rFonts w:hint="eastAsia"/>
        </w:rPr>
        <w:t>对于时点</w:t>
      </w:r>
      <w:r>
        <w:t>类型的</w:t>
      </w:r>
      <w:r>
        <w:rPr>
          <w:rFonts w:hint="eastAsia"/>
        </w:rPr>
        <w:t>元素</w:t>
      </w:r>
      <w:r>
        <w:t>，</w:t>
      </w:r>
      <w:r>
        <w:rPr>
          <w:rFonts w:hint="eastAsia"/>
        </w:rPr>
        <w:t>一般</w:t>
      </w:r>
      <w:r>
        <w:t>情况下</w:t>
      </w:r>
      <w:r>
        <w:rPr>
          <w:rFonts w:hint="eastAsia"/>
        </w:rPr>
        <w:t>，事实值</w:t>
      </w:r>
      <w:r>
        <w:t>应指向</w:t>
      </w:r>
      <w:r>
        <w:rPr>
          <w:rFonts w:hint="eastAsia"/>
        </w:rPr>
        <w:t>时期信息</w:t>
      </w:r>
      <w:r>
        <w:t>为</w:t>
      </w:r>
      <w:r>
        <w:rPr>
          <w:rFonts w:hint="eastAsia"/>
        </w:rPr>
        <w:t>“</w:t>
      </w:r>
      <w:r>
        <w:t>期末</w:t>
      </w:r>
      <w:r>
        <w:rPr>
          <w:rFonts w:hint="eastAsia"/>
        </w:rPr>
        <w:t>”的</w:t>
      </w:r>
      <w:r>
        <w:t>上下文</w:t>
      </w:r>
      <w:r>
        <w:rPr>
          <w:rFonts w:hint="eastAsia"/>
        </w:rPr>
        <w:t>。</w:t>
      </w:r>
      <w:bookmarkEnd w:id="21"/>
      <w:bookmarkEnd w:id="22"/>
      <w:bookmarkEnd w:id="23"/>
      <w:bookmarkEnd w:id="24"/>
    </w:p>
    <w:p w:rsidR="00BA6D37" w:rsidRDefault="00314976" w:rsidP="0013604A">
      <w:pPr>
        <w:pStyle w:val="af2"/>
        <w:wordWrap/>
        <w:spacing w:line="560" w:lineRule="exact"/>
      </w:pPr>
      <w:r>
        <w:rPr>
          <w:rFonts w:hint="eastAsia"/>
        </w:rPr>
        <w:t>（三</w:t>
      </w:r>
      <w:r>
        <w:t>）</w:t>
      </w:r>
      <w:r>
        <w:rPr>
          <w:rFonts w:hint="eastAsia"/>
        </w:rPr>
        <w:t>单位和精确度</w:t>
      </w:r>
    </w:p>
    <w:p w:rsidR="00BA6D37" w:rsidRDefault="00314976">
      <w:pPr>
        <w:pStyle w:val="af4"/>
        <w:wordWrap/>
        <w:spacing w:after="0" w:line="560" w:lineRule="exact"/>
        <w:rPr>
          <w:lang w:val="en-GB"/>
        </w:rPr>
      </w:pPr>
      <w:r>
        <w:rPr>
          <w:rFonts w:hint="eastAsia"/>
          <w:lang w:val="en-GB"/>
        </w:rPr>
        <w:t>单位</w:t>
      </w:r>
      <w:r>
        <w:rPr>
          <w:lang w:val="en-GB"/>
        </w:rPr>
        <w:t>是用来说明数值型数据（非字符串及转义文本）的度量单位，最常见的度量单位就是货币型的单位，例如人民币等。数值型数据的事实值应通过</w:t>
      </w:r>
      <w:r>
        <w:rPr>
          <w:rFonts w:hint="eastAsia"/>
          <w:lang w:val="en-GB"/>
        </w:rPr>
        <w:t>单位指向（</w:t>
      </w:r>
      <w:r>
        <w:rPr>
          <w:lang w:val="en-GB"/>
        </w:rPr>
        <w:t>unitRef</w:t>
      </w:r>
      <w:r>
        <w:rPr>
          <w:rFonts w:hint="eastAsia"/>
          <w:lang w:val="en-GB"/>
        </w:rPr>
        <w:t>）</w:t>
      </w:r>
      <w:r>
        <w:rPr>
          <w:lang w:val="en-GB"/>
        </w:rPr>
        <w:t>属性</w:t>
      </w:r>
      <w:r>
        <w:rPr>
          <w:rFonts w:hint="eastAsia"/>
          <w:lang w:val="en-GB"/>
        </w:rPr>
        <w:t>将定义</w:t>
      </w:r>
      <w:r>
        <w:rPr>
          <w:lang w:val="en-GB"/>
        </w:rPr>
        <w:t>的单位</w:t>
      </w:r>
      <w:r>
        <w:rPr>
          <w:lang w:val="en-GB"/>
        </w:rPr>
        <w:t>ID</w:t>
      </w:r>
      <w:r>
        <w:rPr>
          <w:lang w:val="en-GB"/>
        </w:rPr>
        <w:t>（</w:t>
      </w:r>
      <w:r>
        <w:rPr>
          <w:rFonts w:hint="eastAsia"/>
          <w:lang w:val="en-GB"/>
        </w:rPr>
        <w:t>u</w:t>
      </w:r>
      <w:r>
        <w:rPr>
          <w:lang w:val="en-GB"/>
        </w:rPr>
        <w:t>nit ID</w:t>
      </w:r>
      <w:r>
        <w:rPr>
          <w:lang w:val="en-GB"/>
        </w:rPr>
        <w:t>）指向一个预定的单位；对事</w:t>
      </w:r>
      <w:r>
        <w:rPr>
          <w:lang w:val="en-GB"/>
        </w:rPr>
        <w:lastRenderedPageBreak/>
        <w:t>实值单位的定义同时也指明了事实值的含义，如为货币型元素赋值时，通过单位的定义能够明确金额所代表的币种</w:t>
      </w:r>
      <w:r>
        <w:rPr>
          <w:rFonts w:hint="eastAsia"/>
          <w:lang w:val="en-GB"/>
        </w:rPr>
        <w:t>。</w:t>
      </w:r>
    </w:p>
    <w:p w:rsidR="00BA6D37" w:rsidRDefault="00314976">
      <w:pPr>
        <w:pStyle w:val="af4"/>
        <w:wordWrap/>
        <w:spacing w:after="0" w:line="560" w:lineRule="exact"/>
      </w:pPr>
      <w:r>
        <w:rPr>
          <w:rFonts w:hint="eastAsia"/>
          <w:lang w:val="en-GB"/>
        </w:rPr>
        <w:t>由于指标单位复杂</w:t>
      </w:r>
      <w:r>
        <w:rPr>
          <w:lang w:val="en-GB"/>
        </w:rPr>
        <w:t>多样，</w:t>
      </w:r>
      <w:r>
        <w:rPr>
          <w:rFonts w:hint="eastAsia"/>
          <w:lang w:val="en-GB"/>
        </w:rPr>
        <w:t>为了</w:t>
      </w:r>
      <w:r>
        <w:rPr>
          <w:lang w:val="en-GB"/>
        </w:rPr>
        <w:t>确保填报的准确性，</w:t>
      </w:r>
      <w:r>
        <w:rPr>
          <w:rFonts w:hint="eastAsia"/>
          <w:lang w:val="en-GB"/>
        </w:rPr>
        <w:t>编制</w:t>
      </w:r>
      <w:r>
        <w:rPr>
          <w:lang w:val="en-GB"/>
        </w:rPr>
        <w:t>单位应</w:t>
      </w:r>
      <w:r>
        <w:rPr>
          <w:rFonts w:hint="eastAsia"/>
          <w:lang w:val="en-GB"/>
        </w:rPr>
        <w:t>熟悉</w:t>
      </w:r>
      <w:r>
        <w:rPr>
          <w:lang w:val="en-GB"/>
        </w:rPr>
        <w:t>各</w:t>
      </w:r>
      <w:r>
        <w:rPr>
          <w:rFonts w:hint="eastAsia"/>
          <w:lang w:val="en-GB"/>
        </w:rPr>
        <w:t>个</w:t>
      </w:r>
      <w:r>
        <w:rPr>
          <w:lang w:val="en-GB"/>
        </w:rPr>
        <w:t>指标所填数据的单位</w:t>
      </w:r>
      <w:r>
        <w:rPr>
          <w:rFonts w:hint="eastAsia"/>
          <w:lang w:val="en-GB"/>
        </w:rPr>
        <w:t>；</w:t>
      </w:r>
      <w:r>
        <w:rPr>
          <w:lang w:val="en-GB"/>
        </w:rPr>
        <w:t>同时，</w:t>
      </w:r>
      <w:r>
        <w:rPr>
          <w:rFonts w:hint="eastAsia"/>
          <w:lang w:val="en-GB"/>
        </w:rPr>
        <w:t>为了减轻编制单位的填报难度，</w:t>
      </w:r>
      <w:r>
        <w:rPr>
          <w:lang w:val="en-GB"/>
        </w:rPr>
        <w:t>数据类型</w:t>
      </w:r>
      <w:r>
        <w:rPr>
          <w:rFonts w:hint="eastAsia"/>
          <w:lang w:val="en-GB"/>
        </w:rPr>
        <w:t>为百分比</w:t>
      </w:r>
      <w:r>
        <w:rPr>
          <w:lang w:val="en-GB"/>
        </w:rPr>
        <w:t>型（</w:t>
      </w:r>
      <w:r>
        <w:rPr>
          <w:lang w:val="en-GB"/>
        </w:rPr>
        <w:t>num:percentItemType</w:t>
      </w:r>
      <w:r>
        <w:rPr>
          <w:lang w:val="en-GB"/>
        </w:rPr>
        <w:t>）</w:t>
      </w:r>
      <w:r>
        <w:rPr>
          <w:rFonts w:hint="eastAsia"/>
          <w:lang w:val="en-GB"/>
        </w:rPr>
        <w:t>和</w:t>
      </w:r>
      <w:r>
        <w:rPr>
          <w:lang w:val="en-GB"/>
        </w:rPr>
        <w:t>整数型（</w:t>
      </w:r>
      <w:r>
        <w:rPr>
          <w:lang w:val="en-GB"/>
        </w:rPr>
        <w:t>xbrli:integerItemType</w:t>
      </w:r>
      <w:r>
        <w:rPr>
          <w:lang w:val="en-GB"/>
        </w:rPr>
        <w:t>）</w:t>
      </w:r>
      <w:r>
        <w:rPr>
          <w:rFonts w:hint="eastAsia"/>
          <w:lang w:val="en-GB"/>
        </w:rPr>
        <w:t>的元素，可以在填报时</w:t>
      </w:r>
      <w:r>
        <w:rPr>
          <w:lang w:val="en-GB"/>
        </w:rPr>
        <w:t>简化处理，</w:t>
      </w:r>
      <w:r>
        <w:rPr>
          <w:rFonts w:hint="eastAsia"/>
          <w:lang w:val="en-GB"/>
        </w:rPr>
        <w:t>在</w:t>
      </w:r>
      <w:r>
        <w:rPr>
          <w:lang w:val="en-GB"/>
        </w:rPr>
        <w:t>实例文档</w:t>
      </w:r>
      <w:r>
        <w:rPr>
          <w:rFonts w:hint="eastAsia"/>
          <w:lang w:val="en-GB"/>
        </w:rPr>
        <w:t>中将事实值</w:t>
      </w:r>
      <w:r>
        <w:rPr>
          <w:lang w:val="en-GB"/>
        </w:rPr>
        <w:t>的</w:t>
      </w:r>
      <w:r>
        <w:rPr>
          <w:rFonts w:hint="eastAsia"/>
          <w:lang w:val="en-GB"/>
        </w:rPr>
        <w:t>单位统一设置为</w:t>
      </w:r>
      <w:r>
        <w:rPr>
          <w:rFonts w:hint="eastAsia"/>
          <w:lang w:val="en-GB"/>
        </w:rPr>
        <w:t>xbrli:pure</w:t>
      </w:r>
      <w:r>
        <w:rPr>
          <w:rFonts w:hint="eastAsia"/>
          <w:lang w:val="en-GB"/>
        </w:rPr>
        <w:t>。</w:t>
      </w:r>
      <w:r>
        <w:rPr>
          <w:lang w:val="en-GB"/>
        </w:rPr>
        <w:t>系统在</w:t>
      </w:r>
      <w:r>
        <w:rPr>
          <w:rFonts w:hint="eastAsia"/>
          <w:lang w:val="en-GB"/>
        </w:rPr>
        <w:t>收到</w:t>
      </w:r>
      <w:r>
        <w:rPr>
          <w:lang w:val="en-GB"/>
        </w:rPr>
        <w:t>报送的实例文档</w:t>
      </w:r>
      <w:r>
        <w:rPr>
          <w:rFonts w:hint="eastAsia"/>
          <w:lang w:val="en-GB"/>
        </w:rPr>
        <w:t>后</w:t>
      </w:r>
      <w:r>
        <w:rPr>
          <w:lang w:val="en-GB"/>
        </w:rPr>
        <w:t>，</w:t>
      </w:r>
      <w:r>
        <w:rPr>
          <w:rFonts w:hint="eastAsia"/>
          <w:lang w:val="en-GB"/>
        </w:rPr>
        <w:t>按照</w:t>
      </w:r>
      <w:r>
        <w:rPr>
          <w:lang w:val="en-GB"/>
        </w:rPr>
        <w:t>元素重新设置</w:t>
      </w:r>
      <w:r>
        <w:rPr>
          <w:rFonts w:hint="eastAsia"/>
          <w:lang w:val="en-GB"/>
        </w:rPr>
        <w:t>事实值的</w:t>
      </w:r>
      <w:r>
        <w:rPr>
          <w:lang w:val="en-GB"/>
        </w:rPr>
        <w:t>单位。</w:t>
      </w:r>
      <w:r>
        <w:rPr>
          <w:rFonts w:hint="eastAsia"/>
        </w:rPr>
        <w:t>表</w:t>
      </w:r>
      <w:r>
        <w:t>1</w:t>
      </w:r>
      <w:r>
        <w:rPr>
          <w:rFonts w:hint="eastAsia"/>
        </w:rPr>
        <w:t>6</w:t>
      </w:r>
      <w:r>
        <w:rPr>
          <w:rFonts w:hint="eastAsia"/>
        </w:rPr>
        <w:t>列示</w:t>
      </w:r>
      <w:r>
        <w:t>了</w:t>
      </w:r>
      <w:r>
        <w:rPr>
          <w:rFonts w:hint="eastAsia"/>
        </w:rPr>
        <w:t>编制</w:t>
      </w:r>
      <w:r>
        <w:t>单位在</w:t>
      </w:r>
      <w:r>
        <w:rPr>
          <w:rFonts w:hint="eastAsia"/>
        </w:rPr>
        <w:t>数据报送</w:t>
      </w:r>
      <w:r>
        <w:t>中</w:t>
      </w:r>
      <w:r>
        <w:rPr>
          <w:rFonts w:hint="eastAsia"/>
        </w:rPr>
        <w:t>常用的</w:t>
      </w:r>
      <w:r>
        <w:t>单位定义。</w:t>
      </w:r>
    </w:p>
    <w:p w:rsidR="00BA6D37" w:rsidRDefault="00314976">
      <w:pPr>
        <w:pStyle w:val="af4"/>
        <w:wordWrap/>
        <w:spacing w:after="0" w:line="560" w:lineRule="exact"/>
        <w:ind w:firstLineChars="0" w:firstLine="0"/>
        <w:jc w:val="center"/>
        <w:rPr>
          <w:b/>
          <w:sz w:val="24"/>
          <w:szCs w:val="24"/>
        </w:rPr>
      </w:pPr>
      <w:r>
        <w:rPr>
          <w:rFonts w:hint="eastAsia"/>
          <w:b/>
          <w:sz w:val="24"/>
          <w:szCs w:val="24"/>
        </w:rPr>
        <w:t>表</w:t>
      </w:r>
      <w:r>
        <w:rPr>
          <w:b/>
          <w:sz w:val="24"/>
          <w:szCs w:val="24"/>
        </w:rPr>
        <w:t>1</w:t>
      </w:r>
      <w:r>
        <w:rPr>
          <w:rFonts w:hint="eastAsia"/>
          <w:b/>
          <w:sz w:val="24"/>
          <w:szCs w:val="24"/>
        </w:rPr>
        <w:t>6</w:t>
      </w:r>
      <w:r>
        <w:rPr>
          <w:rFonts w:hint="eastAsia"/>
          <w:b/>
          <w:sz w:val="24"/>
          <w:szCs w:val="24"/>
        </w:rPr>
        <w:t>：实例文档常用单位定义举例</w:t>
      </w:r>
    </w:p>
    <w:tbl>
      <w:tblPr>
        <w:tblW w:w="5000" w:type="pct"/>
        <w:jc w:val="center"/>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2863"/>
        <w:gridCol w:w="2303"/>
        <w:gridCol w:w="2295"/>
      </w:tblGrid>
      <w:tr w:rsidR="00BA6D37">
        <w:trPr>
          <w:trHeight w:val="567"/>
          <w:jc w:val="center"/>
        </w:trPr>
        <w:tc>
          <w:tcPr>
            <w:tcW w:w="1255" w:type="pct"/>
            <w:shd w:val="clear" w:color="auto" w:fill="auto"/>
            <w:vAlign w:val="center"/>
          </w:tcPr>
          <w:p w:rsidR="00BA6D37" w:rsidRDefault="00314976">
            <w:pPr>
              <w:spacing w:after="0" w:line="240" w:lineRule="auto"/>
              <w:jc w:val="center"/>
              <w:rPr>
                <w:rFonts w:ascii="Times New Roman" w:eastAsia="仿宋_GB2312" w:hAnsi="Times New Roman"/>
                <w:b/>
                <w:color w:val="000000"/>
                <w:sz w:val="24"/>
                <w:szCs w:val="24"/>
                <w:lang w:val="en-GB"/>
              </w:rPr>
            </w:pPr>
            <w:r>
              <w:rPr>
                <w:rFonts w:ascii="Times New Roman" w:eastAsia="仿宋_GB2312" w:hAnsi="Times New Roman" w:hint="eastAsia"/>
                <w:b/>
                <w:color w:val="000000"/>
                <w:sz w:val="24"/>
                <w:szCs w:val="24"/>
                <w:lang w:val="en-GB"/>
              </w:rPr>
              <w:t>I</w:t>
            </w:r>
            <w:r>
              <w:rPr>
                <w:rFonts w:ascii="Times New Roman" w:eastAsia="仿宋_GB2312" w:hAnsi="Times New Roman"/>
                <w:b/>
                <w:color w:val="000000"/>
                <w:sz w:val="24"/>
                <w:szCs w:val="24"/>
                <w:lang w:val="en-GB"/>
              </w:rPr>
              <w:t>D</w:t>
            </w:r>
          </w:p>
        </w:tc>
        <w:tc>
          <w:tcPr>
            <w:tcW w:w="1437" w:type="pct"/>
            <w:shd w:val="clear" w:color="auto" w:fill="auto"/>
            <w:vAlign w:val="center"/>
          </w:tcPr>
          <w:p w:rsidR="00BA6D37" w:rsidRDefault="00314976">
            <w:pPr>
              <w:spacing w:after="0" w:line="240" w:lineRule="auto"/>
              <w:jc w:val="center"/>
              <w:rPr>
                <w:rFonts w:ascii="Times New Roman" w:eastAsia="仿宋_GB2312" w:hAnsi="Times New Roman"/>
                <w:b/>
                <w:color w:val="000000"/>
                <w:sz w:val="24"/>
                <w:szCs w:val="24"/>
                <w:lang w:val="en-GB"/>
              </w:rPr>
            </w:pPr>
            <w:r>
              <w:rPr>
                <w:rFonts w:ascii="Times New Roman" w:eastAsia="仿宋_GB2312" w:hAnsi="Times New Roman" w:hint="eastAsia"/>
                <w:b/>
                <w:color w:val="000000"/>
                <w:sz w:val="24"/>
                <w:szCs w:val="24"/>
                <w:lang w:val="en-GB"/>
              </w:rPr>
              <w:t>单位的含义</w:t>
            </w:r>
          </w:p>
        </w:tc>
        <w:tc>
          <w:tcPr>
            <w:tcW w:w="1156" w:type="pct"/>
            <w:shd w:val="clear" w:color="auto" w:fill="auto"/>
            <w:vAlign w:val="center"/>
          </w:tcPr>
          <w:p w:rsidR="00BA6D37" w:rsidRDefault="00314976">
            <w:pPr>
              <w:spacing w:after="0" w:line="240" w:lineRule="auto"/>
              <w:jc w:val="center"/>
              <w:rPr>
                <w:rFonts w:ascii="Times New Roman" w:eastAsia="仿宋_GB2312" w:hAnsi="Times New Roman"/>
                <w:b/>
                <w:color w:val="000000"/>
                <w:sz w:val="24"/>
                <w:szCs w:val="24"/>
                <w:lang w:val="en-GB"/>
              </w:rPr>
            </w:pPr>
            <w:r>
              <w:rPr>
                <w:rFonts w:ascii="Times New Roman" w:eastAsia="仿宋_GB2312" w:hAnsi="Times New Roman" w:hint="eastAsia"/>
                <w:b/>
                <w:color w:val="000000"/>
                <w:sz w:val="24"/>
                <w:szCs w:val="24"/>
                <w:lang w:val="en-GB"/>
              </w:rPr>
              <w:t>分子</w:t>
            </w:r>
          </w:p>
        </w:tc>
        <w:tc>
          <w:tcPr>
            <w:tcW w:w="1153" w:type="pct"/>
            <w:shd w:val="clear" w:color="auto" w:fill="auto"/>
            <w:vAlign w:val="center"/>
          </w:tcPr>
          <w:p w:rsidR="00BA6D37" w:rsidRDefault="00314976">
            <w:pPr>
              <w:spacing w:after="0" w:line="240" w:lineRule="auto"/>
              <w:jc w:val="center"/>
              <w:rPr>
                <w:rFonts w:ascii="Times New Roman" w:eastAsia="仿宋_GB2312" w:hAnsi="Times New Roman"/>
                <w:b/>
                <w:color w:val="000000"/>
                <w:sz w:val="24"/>
                <w:szCs w:val="24"/>
                <w:lang w:val="en-GB"/>
              </w:rPr>
            </w:pPr>
            <w:r>
              <w:rPr>
                <w:rFonts w:ascii="Times New Roman" w:eastAsia="仿宋_GB2312" w:hAnsi="Times New Roman" w:hint="eastAsia"/>
                <w:b/>
                <w:color w:val="000000"/>
                <w:sz w:val="24"/>
                <w:szCs w:val="24"/>
                <w:lang w:val="en-GB"/>
              </w:rPr>
              <w:t>分母</w:t>
            </w:r>
          </w:p>
        </w:tc>
      </w:tr>
      <w:tr w:rsidR="00BA6D37">
        <w:trPr>
          <w:trHeight w:val="567"/>
          <w:jc w:val="center"/>
        </w:trPr>
        <w:tc>
          <w:tcPr>
            <w:tcW w:w="1255"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color w:val="000000"/>
                <w:sz w:val="24"/>
                <w:szCs w:val="24"/>
                <w:lang w:val="en-GB"/>
              </w:rPr>
              <w:t>U_RMB</w:t>
            </w:r>
          </w:p>
        </w:tc>
        <w:tc>
          <w:tcPr>
            <w:tcW w:w="1437"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hint="eastAsia"/>
                <w:color w:val="000000"/>
                <w:sz w:val="24"/>
                <w:szCs w:val="24"/>
                <w:lang w:val="en-GB"/>
              </w:rPr>
              <w:t>人民币</w:t>
            </w:r>
          </w:p>
        </w:tc>
        <w:tc>
          <w:tcPr>
            <w:tcW w:w="1156"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color w:val="000000"/>
                <w:sz w:val="24"/>
                <w:szCs w:val="24"/>
                <w:lang w:val="en-GB"/>
              </w:rPr>
              <w:t>iso4217:CNY</w:t>
            </w:r>
          </w:p>
        </w:tc>
        <w:tc>
          <w:tcPr>
            <w:tcW w:w="1153"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hint="eastAsia"/>
                <w:color w:val="000000"/>
                <w:sz w:val="24"/>
                <w:szCs w:val="24"/>
                <w:lang w:val="en-GB"/>
              </w:rPr>
              <w:t>不适用</w:t>
            </w:r>
          </w:p>
        </w:tc>
      </w:tr>
      <w:tr w:rsidR="00BA6D37">
        <w:trPr>
          <w:trHeight w:val="567"/>
          <w:jc w:val="center"/>
        </w:trPr>
        <w:tc>
          <w:tcPr>
            <w:tcW w:w="1255"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color w:val="000000"/>
                <w:sz w:val="24"/>
                <w:szCs w:val="24"/>
                <w:lang w:val="en-GB"/>
              </w:rPr>
              <w:t>U_pure</w:t>
            </w:r>
          </w:p>
        </w:tc>
        <w:tc>
          <w:tcPr>
            <w:tcW w:w="1437"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hint="eastAsia"/>
                <w:color w:val="000000"/>
                <w:sz w:val="24"/>
                <w:szCs w:val="24"/>
                <w:lang w:val="en-GB"/>
              </w:rPr>
              <w:t>纯数</w:t>
            </w:r>
          </w:p>
        </w:tc>
        <w:tc>
          <w:tcPr>
            <w:tcW w:w="1156"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color w:val="000000"/>
                <w:sz w:val="24"/>
                <w:szCs w:val="24"/>
                <w:lang w:val="en-GB"/>
              </w:rPr>
              <w:t>xbrli:pure</w:t>
            </w:r>
          </w:p>
        </w:tc>
        <w:tc>
          <w:tcPr>
            <w:tcW w:w="1153"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hint="eastAsia"/>
                <w:color w:val="000000"/>
                <w:sz w:val="24"/>
                <w:szCs w:val="24"/>
                <w:lang w:val="en-GB"/>
              </w:rPr>
              <w:t>不适用</w:t>
            </w:r>
          </w:p>
        </w:tc>
      </w:tr>
      <w:tr w:rsidR="00BA6D37">
        <w:trPr>
          <w:trHeight w:val="567"/>
          <w:jc w:val="center"/>
        </w:trPr>
        <w:tc>
          <w:tcPr>
            <w:tcW w:w="1255"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color w:val="000000"/>
                <w:sz w:val="24"/>
                <w:szCs w:val="24"/>
                <w:lang w:val="en-GB"/>
              </w:rPr>
              <w:t>U_shares</w:t>
            </w:r>
          </w:p>
        </w:tc>
        <w:tc>
          <w:tcPr>
            <w:tcW w:w="1437"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hint="eastAsia"/>
                <w:color w:val="000000"/>
                <w:sz w:val="24"/>
                <w:szCs w:val="24"/>
                <w:lang w:val="en-GB"/>
              </w:rPr>
              <w:t>股份</w:t>
            </w:r>
          </w:p>
        </w:tc>
        <w:tc>
          <w:tcPr>
            <w:tcW w:w="1156"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color w:val="000000"/>
                <w:sz w:val="24"/>
                <w:szCs w:val="24"/>
                <w:lang w:val="en-GB"/>
              </w:rPr>
              <w:t>xbrli:share</w:t>
            </w:r>
          </w:p>
        </w:tc>
        <w:tc>
          <w:tcPr>
            <w:tcW w:w="1153" w:type="pct"/>
            <w:vAlign w:val="center"/>
          </w:tcPr>
          <w:p w:rsidR="00BA6D37" w:rsidRDefault="00314976">
            <w:pPr>
              <w:spacing w:after="0" w:line="240" w:lineRule="auto"/>
              <w:jc w:val="both"/>
              <w:rPr>
                <w:rFonts w:ascii="Times New Roman" w:eastAsia="仿宋_GB2312" w:hAnsi="Times New Roman"/>
                <w:color w:val="000000"/>
                <w:sz w:val="24"/>
                <w:szCs w:val="24"/>
                <w:lang w:val="en-GB"/>
              </w:rPr>
            </w:pPr>
            <w:r>
              <w:rPr>
                <w:rFonts w:ascii="Times New Roman" w:eastAsia="仿宋_GB2312" w:hAnsi="Times New Roman" w:hint="eastAsia"/>
                <w:color w:val="000000"/>
                <w:sz w:val="24"/>
                <w:szCs w:val="24"/>
                <w:lang w:val="en-GB"/>
              </w:rPr>
              <w:t>不适用</w:t>
            </w:r>
          </w:p>
        </w:tc>
      </w:tr>
    </w:tbl>
    <w:p w:rsidR="00BA6D37" w:rsidRDefault="00314976">
      <w:pPr>
        <w:pStyle w:val="af4"/>
        <w:wordWrap/>
        <w:spacing w:after="0" w:line="560" w:lineRule="exact"/>
      </w:pPr>
      <w:r>
        <w:rPr>
          <w:rFonts w:hint="eastAsia"/>
        </w:rPr>
        <w:t>数据报送中数值型数据</w:t>
      </w:r>
      <w:r>
        <w:t>的单位应精确，不能出现百万、万份等单位</w:t>
      </w:r>
      <w:r>
        <w:rPr>
          <w:rFonts w:hint="eastAsia"/>
        </w:rPr>
        <w:t>。</w:t>
      </w:r>
    </w:p>
    <w:p w:rsidR="00BA6D37" w:rsidRDefault="00314976">
      <w:pPr>
        <w:spacing w:after="0" w:line="560" w:lineRule="exact"/>
        <w:rPr>
          <w:b/>
          <w:sz w:val="24"/>
          <w:szCs w:val="24"/>
        </w:rPr>
      </w:pPr>
      <w:r>
        <w:rPr>
          <w:rFonts w:ascii="Times New Roman" w:eastAsia="仿宋_GB2312" w:hAnsi="Times New Roman" w:cs="Arial" w:hint="eastAsia"/>
          <w:sz w:val="28"/>
          <w:szCs w:val="32"/>
        </w:rPr>
        <w:t>XBRL</w:t>
      </w:r>
      <w:r>
        <w:rPr>
          <w:rFonts w:ascii="Times New Roman" w:eastAsia="仿宋_GB2312" w:hAnsi="Times New Roman" w:cs="Arial" w:hint="eastAsia"/>
          <w:sz w:val="28"/>
          <w:szCs w:val="32"/>
        </w:rPr>
        <w:t>通过事实值的</w:t>
      </w:r>
      <w:r>
        <w:rPr>
          <w:rFonts w:ascii="Times New Roman" w:eastAsia="仿宋_GB2312" w:hAnsi="Times New Roman" w:cs="Arial"/>
          <w:sz w:val="28"/>
          <w:szCs w:val="32"/>
        </w:rPr>
        <w:t xml:space="preserve"> </w:t>
      </w:r>
      <w:r>
        <w:rPr>
          <w:rFonts w:ascii="Times New Roman" w:eastAsia="仿宋_GB2312" w:hAnsi="Times New Roman" w:cs="Arial" w:hint="eastAsia"/>
          <w:sz w:val="28"/>
          <w:szCs w:val="32"/>
        </w:rPr>
        <w:t>decimals</w:t>
      </w:r>
      <w:r>
        <w:rPr>
          <w:rFonts w:ascii="Times New Roman" w:eastAsia="仿宋_GB2312" w:hAnsi="Times New Roman" w:cs="Arial" w:hint="eastAsia"/>
          <w:sz w:val="28"/>
          <w:szCs w:val="32"/>
        </w:rPr>
        <w:t>（小数点后位数）属性提供了表达数值型数据精确度的方式。报送报告的私募管理人或其他机构使用</w:t>
      </w:r>
      <w:r>
        <w:rPr>
          <w:rFonts w:ascii="Times New Roman" w:eastAsia="仿宋_GB2312" w:hAnsi="Times New Roman" w:cs="Arial" w:hint="eastAsia"/>
          <w:sz w:val="28"/>
          <w:szCs w:val="32"/>
        </w:rPr>
        <w:t>decimals</w:t>
      </w:r>
      <w:r>
        <w:rPr>
          <w:rFonts w:ascii="Times New Roman" w:eastAsia="仿宋_GB2312" w:hAnsi="Times New Roman" w:cs="Arial" w:hint="eastAsia"/>
          <w:sz w:val="28"/>
          <w:szCs w:val="32"/>
        </w:rPr>
        <w:t>属性</w:t>
      </w:r>
      <w:r w:rsidR="00F22920">
        <w:rPr>
          <w:rFonts w:ascii="Times New Roman" w:eastAsia="仿宋_GB2312" w:hAnsi="Times New Roman" w:cs="Arial" w:hint="eastAsia"/>
          <w:sz w:val="28"/>
          <w:szCs w:val="32"/>
        </w:rPr>
        <w:t>能够</w:t>
      </w:r>
      <w:r>
        <w:rPr>
          <w:rFonts w:ascii="Times New Roman" w:eastAsia="仿宋_GB2312" w:hAnsi="Times New Roman" w:cs="Arial" w:hint="eastAsia"/>
          <w:sz w:val="28"/>
          <w:szCs w:val="32"/>
        </w:rPr>
        <w:t>直观地展示数据的精度。例如</w:t>
      </w:r>
      <w:r>
        <w:rPr>
          <w:rFonts w:ascii="Times New Roman" w:eastAsia="仿宋_GB2312" w:hAnsi="Times New Roman" w:cs="Arial"/>
          <w:sz w:val="28"/>
          <w:szCs w:val="32"/>
        </w:rPr>
        <w:t>，</w:t>
      </w:r>
      <w:r>
        <w:rPr>
          <w:rFonts w:ascii="Times New Roman" w:eastAsia="仿宋_GB2312" w:hAnsi="Times New Roman" w:cs="Arial" w:hint="eastAsia"/>
          <w:sz w:val="28"/>
          <w:szCs w:val="32"/>
        </w:rPr>
        <w:t>农、林、牧、渔业股票投资占基金资产净值比例</w:t>
      </w:r>
      <w:r>
        <w:rPr>
          <w:rFonts w:ascii="Times New Roman" w:eastAsia="仿宋_GB2312" w:hAnsi="Times New Roman" w:cs="Arial"/>
          <w:sz w:val="28"/>
          <w:szCs w:val="32"/>
        </w:rPr>
        <w:t>为</w:t>
      </w:r>
      <w:r>
        <w:rPr>
          <w:rFonts w:ascii="Times New Roman" w:eastAsia="仿宋_GB2312" w:hAnsi="Times New Roman" w:cs="Arial"/>
          <w:sz w:val="28"/>
          <w:szCs w:val="32"/>
        </w:rPr>
        <w:t>10%</w:t>
      </w:r>
      <w:r>
        <w:rPr>
          <w:rFonts w:ascii="Times New Roman" w:eastAsia="仿宋_GB2312" w:hAnsi="Times New Roman" w:cs="Arial"/>
          <w:sz w:val="28"/>
          <w:szCs w:val="32"/>
        </w:rPr>
        <w:t>，</w:t>
      </w:r>
      <w:r>
        <w:rPr>
          <w:rFonts w:ascii="Times New Roman" w:eastAsia="仿宋_GB2312" w:hAnsi="Times New Roman" w:cs="Arial" w:hint="eastAsia"/>
          <w:sz w:val="28"/>
          <w:szCs w:val="32"/>
        </w:rPr>
        <w:t>报送时单位</w:t>
      </w:r>
      <w:r>
        <w:rPr>
          <w:rFonts w:ascii="Times New Roman" w:eastAsia="仿宋_GB2312" w:hAnsi="Times New Roman" w:cs="Arial"/>
          <w:sz w:val="28"/>
          <w:szCs w:val="32"/>
        </w:rPr>
        <w:t>应</w:t>
      </w:r>
      <w:r>
        <w:rPr>
          <w:rFonts w:ascii="Times New Roman" w:eastAsia="仿宋_GB2312" w:hAnsi="Times New Roman" w:cs="Arial" w:hint="eastAsia"/>
          <w:sz w:val="28"/>
          <w:szCs w:val="32"/>
        </w:rPr>
        <w:t>为</w:t>
      </w:r>
      <w:r>
        <w:rPr>
          <w:rFonts w:ascii="Times New Roman" w:eastAsia="仿宋_GB2312" w:hAnsi="Times New Roman" w:cs="Arial"/>
          <w:sz w:val="28"/>
          <w:szCs w:val="32"/>
        </w:rPr>
        <w:t>pure</w:t>
      </w:r>
      <w:r>
        <w:rPr>
          <w:rFonts w:ascii="Times New Roman" w:eastAsia="仿宋_GB2312" w:hAnsi="Times New Roman" w:cs="Arial"/>
          <w:sz w:val="28"/>
          <w:szCs w:val="32"/>
        </w:rPr>
        <w:t>，事实值为</w:t>
      </w:r>
      <w:r>
        <w:rPr>
          <w:rFonts w:ascii="Times New Roman" w:eastAsia="仿宋_GB2312" w:hAnsi="Times New Roman" w:cs="Arial"/>
          <w:sz w:val="28"/>
          <w:szCs w:val="32"/>
        </w:rPr>
        <w:t>0.10</w:t>
      </w:r>
      <w:r>
        <w:rPr>
          <w:rFonts w:ascii="Times New Roman" w:eastAsia="仿宋_GB2312" w:hAnsi="Times New Roman" w:cs="Arial" w:hint="eastAsia"/>
          <w:sz w:val="28"/>
          <w:szCs w:val="32"/>
        </w:rPr>
        <w:t>，</w:t>
      </w:r>
      <w:r>
        <w:rPr>
          <w:rFonts w:ascii="Times New Roman" w:eastAsia="仿宋_GB2312" w:hAnsi="Times New Roman" w:cs="Arial"/>
          <w:sz w:val="28"/>
          <w:szCs w:val="32"/>
        </w:rPr>
        <w:t>decimals</w:t>
      </w:r>
      <w:r>
        <w:rPr>
          <w:rFonts w:ascii="Times New Roman" w:eastAsia="仿宋_GB2312" w:hAnsi="Times New Roman" w:cs="Arial"/>
          <w:sz w:val="28"/>
          <w:szCs w:val="32"/>
        </w:rPr>
        <w:t>属性为</w:t>
      </w:r>
      <w:r>
        <w:rPr>
          <w:rFonts w:ascii="Times New Roman" w:eastAsia="仿宋_GB2312" w:hAnsi="Times New Roman" w:cs="Arial"/>
          <w:sz w:val="28"/>
          <w:szCs w:val="32"/>
        </w:rPr>
        <w:t>2</w:t>
      </w:r>
      <w:r>
        <w:rPr>
          <w:rFonts w:ascii="Times New Roman" w:eastAsia="仿宋_GB2312" w:hAnsi="Times New Roman" w:cs="Arial" w:hint="eastAsia"/>
          <w:sz w:val="28"/>
          <w:szCs w:val="32"/>
        </w:rPr>
        <w:t>。表</w:t>
      </w:r>
      <w:r>
        <w:rPr>
          <w:rFonts w:ascii="Times New Roman" w:eastAsia="仿宋_GB2312" w:hAnsi="Times New Roman" w:cs="Arial"/>
          <w:sz w:val="28"/>
          <w:szCs w:val="32"/>
        </w:rPr>
        <w:t>1</w:t>
      </w:r>
      <w:r>
        <w:rPr>
          <w:rFonts w:ascii="Times New Roman" w:eastAsia="仿宋_GB2312" w:hAnsi="Times New Roman" w:cs="Arial" w:hint="eastAsia"/>
          <w:sz w:val="28"/>
          <w:szCs w:val="32"/>
        </w:rPr>
        <w:t>7</w:t>
      </w:r>
      <w:r>
        <w:rPr>
          <w:rFonts w:ascii="Times New Roman" w:eastAsia="仿宋_GB2312" w:hAnsi="Times New Roman" w:cs="Arial" w:hint="eastAsia"/>
          <w:sz w:val="28"/>
          <w:szCs w:val="32"/>
        </w:rPr>
        <w:t>列示了</w:t>
      </w:r>
      <w:r>
        <w:rPr>
          <w:rFonts w:ascii="Times New Roman" w:eastAsia="仿宋_GB2312" w:hAnsi="Times New Roman" w:cs="Arial"/>
          <w:sz w:val="28"/>
          <w:szCs w:val="32"/>
        </w:rPr>
        <w:t>数值型数据使用</w:t>
      </w:r>
      <w:r>
        <w:rPr>
          <w:rFonts w:ascii="Times New Roman" w:eastAsia="仿宋_GB2312" w:hAnsi="Times New Roman" w:cs="Arial"/>
          <w:sz w:val="28"/>
          <w:szCs w:val="32"/>
        </w:rPr>
        <w:t>decimals</w:t>
      </w:r>
      <w:r>
        <w:rPr>
          <w:rFonts w:ascii="Times New Roman" w:eastAsia="仿宋_GB2312" w:hAnsi="Times New Roman" w:cs="Arial"/>
          <w:sz w:val="28"/>
          <w:szCs w:val="32"/>
        </w:rPr>
        <w:t>属性的例子</w:t>
      </w:r>
      <w:r>
        <w:rPr>
          <w:rFonts w:ascii="Times New Roman" w:eastAsia="仿宋_GB2312" w:hAnsi="Times New Roman" w:cs="Arial" w:hint="eastAsia"/>
          <w:sz w:val="28"/>
          <w:szCs w:val="32"/>
        </w:rPr>
        <w:t>。</w:t>
      </w:r>
    </w:p>
    <w:p w:rsidR="00BA6D37" w:rsidRDefault="00314976">
      <w:pPr>
        <w:pStyle w:val="af4"/>
        <w:wordWrap/>
        <w:spacing w:after="0" w:line="560" w:lineRule="exact"/>
        <w:ind w:firstLineChars="0" w:firstLine="0"/>
        <w:jc w:val="center"/>
        <w:rPr>
          <w:b/>
          <w:sz w:val="24"/>
          <w:szCs w:val="24"/>
        </w:rPr>
      </w:pPr>
      <w:r>
        <w:rPr>
          <w:rFonts w:hint="eastAsia"/>
          <w:b/>
          <w:sz w:val="24"/>
          <w:szCs w:val="24"/>
        </w:rPr>
        <w:t>表</w:t>
      </w:r>
      <w:r>
        <w:rPr>
          <w:b/>
          <w:sz w:val="24"/>
          <w:szCs w:val="24"/>
        </w:rPr>
        <w:t>17</w:t>
      </w:r>
      <w:r>
        <w:rPr>
          <w:rFonts w:hint="eastAsia"/>
          <w:b/>
          <w:sz w:val="24"/>
          <w:szCs w:val="24"/>
        </w:rPr>
        <w:t>：数值型事实值的精确度举例</w:t>
      </w:r>
    </w:p>
    <w:tbl>
      <w:tblPr>
        <w:tblW w:w="5000" w:type="pct"/>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321"/>
        <w:gridCol w:w="3320"/>
        <w:gridCol w:w="3322"/>
      </w:tblGrid>
      <w:tr w:rsidR="00BA6D37">
        <w:trPr>
          <w:trHeight w:val="390"/>
          <w:jc w:val="center"/>
        </w:trPr>
        <w:tc>
          <w:tcPr>
            <w:tcW w:w="1667" w:type="pct"/>
            <w:vAlign w:val="center"/>
          </w:tcPr>
          <w:p w:rsidR="00BA6D37" w:rsidRDefault="00314976">
            <w:pPr>
              <w:spacing w:after="0" w:line="560" w:lineRule="exact"/>
              <w:jc w:val="center"/>
              <w:rPr>
                <w:rFonts w:ascii="Times New Roman" w:eastAsia="仿宋_GB2312" w:hAnsi="Times New Roman"/>
                <w:b/>
                <w:sz w:val="24"/>
                <w:szCs w:val="24"/>
              </w:rPr>
            </w:pPr>
            <w:r>
              <w:rPr>
                <w:rFonts w:ascii="Times New Roman" w:eastAsia="仿宋_GB2312" w:hAnsi="Times New Roman" w:hint="eastAsia"/>
                <w:b/>
                <w:sz w:val="24"/>
                <w:szCs w:val="24"/>
              </w:rPr>
              <w:t>数值</w:t>
            </w:r>
          </w:p>
        </w:tc>
        <w:tc>
          <w:tcPr>
            <w:tcW w:w="1666" w:type="pct"/>
            <w:vAlign w:val="center"/>
          </w:tcPr>
          <w:p w:rsidR="00BA6D37" w:rsidRDefault="00314976">
            <w:pPr>
              <w:spacing w:after="0" w:line="560" w:lineRule="exact"/>
              <w:jc w:val="center"/>
              <w:rPr>
                <w:rFonts w:ascii="Times New Roman" w:eastAsia="仿宋_GB2312" w:hAnsi="Times New Roman"/>
                <w:b/>
                <w:sz w:val="24"/>
                <w:szCs w:val="24"/>
              </w:rPr>
            </w:pPr>
            <w:r>
              <w:rPr>
                <w:rFonts w:ascii="Times New Roman" w:eastAsia="仿宋_GB2312" w:hAnsi="Times New Roman"/>
                <w:b/>
                <w:sz w:val="24"/>
                <w:szCs w:val="24"/>
              </w:rPr>
              <w:t>Decimals</w:t>
            </w:r>
            <w:r>
              <w:rPr>
                <w:rFonts w:ascii="Times New Roman" w:eastAsia="仿宋_GB2312" w:hAnsi="Times New Roman" w:hint="eastAsia"/>
                <w:b/>
                <w:sz w:val="24"/>
                <w:szCs w:val="24"/>
              </w:rPr>
              <w:t>取值</w:t>
            </w:r>
          </w:p>
        </w:tc>
        <w:tc>
          <w:tcPr>
            <w:tcW w:w="1667" w:type="pct"/>
            <w:vAlign w:val="center"/>
          </w:tcPr>
          <w:p w:rsidR="00BA6D37" w:rsidRDefault="00314976">
            <w:pPr>
              <w:spacing w:after="0" w:line="560" w:lineRule="exact"/>
              <w:jc w:val="center"/>
              <w:rPr>
                <w:rFonts w:ascii="Times New Roman" w:eastAsia="仿宋_GB2312" w:hAnsi="Times New Roman"/>
                <w:b/>
                <w:sz w:val="24"/>
                <w:szCs w:val="24"/>
              </w:rPr>
            </w:pPr>
            <w:r>
              <w:rPr>
                <w:rFonts w:ascii="Times New Roman" w:eastAsia="仿宋_GB2312" w:hAnsi="Times New Roman" w:hint="eastAsia"/>
                <w:b/>
                <w:sz w:val="24"/>
                <w:szCs w:val="24"/>
              </w:rPr>
              <w:t>示例</w:t>
            </w:r>
          </w:p>
        </w:tc>
      </w:tr>
      <w:tr w:rsidR="00BA6D37">
        <w:trPr>
          <w:trHeight w:val="390"/>
          <w:jc w:val="center"/>
        </w:trPr>
        <w:tc>
          <w:tcPr>
            <w:tcW w:w="1667" w:type="pct"/>
            <w:vAlign w:val="center"/>
          </w:tcPr>
          <w:p w:rsidR="00BA6D37" w:rsidRDefault="00314976">
            <w:pPr>
              <w:spacing w:after="0" w:line="560" w:lineRule="exact"/>
              <w:jc w:val="both"/>
              <w:rPr>
                <w:rFonts w:ascii="Times New Roman" w:eastAsia="仿宋_GB2312" w:hAnsi="Times New Roman"/>
                <w:sz w:val="24"/>
                <w:szCs w:val="24"/>
              </w:rPr>
            </w:pPr>
            <w:r>
              <w:rPr>
                <w:rFonts w:ascii="Times New Roman" w:eastAsia="仿宋_GB2312" w:hAnsi="Times New Roman" w:hint="eastAsia"/>
                <w:sz w:val="24"/>
                <w:szCs w:val="24"/>
              </w:rPr>
              <w:t>精确到</w:t>
            </w:r>
            <w:r>
              <w:rPr>
                <w:rFonts w:ascii="Times New Roman" w:eastAsia="仿宋_GB2312" w:hAnsi="Times New Roman"/>
                <w:sz w:val="24"/>
                <w:szCs w:val="24"/>
              </w:rPr>
              <w:t>2</w:t>
            </w:r>
            <w:r>
              <w:rPr>
                <w:rFonts w:ascii="Times New Roman" w:eastAsia="仿宋_GB2312" w:hAnsi="Times New Roman" w:hint="eastAsia"/>
                <w:sz w:val="24"/>
                <w:szCs w:val="24"/>
              </w:rPr>
              <w:t>位小数</w:t>
            </w:r>
          </w:p>
        </w:tc>
        <w:tc>
          <w:tcPr>
            <w:tcW w:w="1666" w:type="pct"/>
            <w:vAlign w:val="center"/>
          </w:tcPr>
          <w:p w:rsidR="00BA6D37" w:rsidRDefault="00314976">
            <w:pPr>
              <w:spacing w:after="0" w:line="560" w:lineRule="exact"/>
              <w:jc w:val="both"/>
              <w:rPr>
                <w:rFonts w:ascii="Times New Roman" w:eastAsia="仿宋_GB2312" w:hAnsi="Times New Roman"/>
                <w:sz w:val="24"/>
                <w:szCs w:val="24"/>
              </w:rPr>
            </w:pPr>
            <w:r>
              <w:rPr>
                <w:rFonts w:ascii="Times New Roman" w:eastAsia="仿宋_GB2312" w:hAnsi="Times New Roman"/>
                <w:sz w:val="24"/>
                <w:szCs w:val="24"/>
              </w:rPr>
              <w:t>2</w:t>
            </w:r>
          </w:p>
        </w:tc>
        <w:tc>
          <w:tcPr>
            <w:tcW w:w="1667" w:type="pct"/>
            <w:vAlign w:val="center"/>
          </w:tcPr>
          <w:p w:rsidR="00BA6D37" w:rsidRDefault="00314976">
            <w:pPr>
              <w:spacing w:after="0" w:line="560" w:lineRule="exact"/>
              <w:ind w:rightChars="236" w:right="519"/>
              <w:jc w:val="both"/>
              <w:rPr>
                <w:rFonts w:ascii="Times New Roman" w:eastAsia="仿宋_GB2312" w:hAnsi="Times New Roman"/>
                <w:sz w:val="24"/>
                <w:szCs w:val="24"/>
              </w:rPr>
            </w:pPr>
            <w:r>
              <w:rPr>
                <w:rFonts w:ascii="Times New Roman" w:eastAsia="仿宋_GB2312" w:hAnsi="Times New Roman"/>
                <w:sz w:val="24"/>
                <w:szCs w:val="24"/>
              </w:rPr>
              <w:t>139 034.17</w:t>
            </w:r>
          </w:p>
        </w:tc>
      </w:tr>
      <w:tr w:rsidR="00BA6D37">
        <w:trPr>
          <w:trHeight w:val="390"/>
          <w:jc w:val="center"/>
        </w:trPr>
        <w:tc>
          <w:tcPr>
            <w:tcW w:w="1667" w:type="pct"/>
            <w:vAlign w:val="center"/>
          </w:tcPr>
          <w:p w:rsidR="00BA6D37" w:rsidRDefault="00314976">
            <w:pPr>
              <w:spacing w:after="0" w:line="560" w:lineRule="exact"/>
              <w:jc w:val="both"/>
              <w:rPr>
                <w:rFonts w:ascii="Times New Roman" w:eastAsia="仿宋_GB2312" w:hAnsi="Times New Roman"/>
                <w:sz w:val="24"/>
                <w:szCs w:val="24"/>
              </w:rPr>
            </w:pPr>
            <w:r>
              <w:rPr>
                <w:rFonts w:ascii="Times New Roman" w:eastAsia="仿宋_GB2312" w:hAnsi="Times New Roman" w:hint="eastAsia"/>
                <w:sz w:val="24"/>
                <w:szCs w:val="24"/>
              </w:rPr>
              <w:t>精确数字</w:t>
            </w:r>
          </w:p>
        </w:tc>
        <w:tc>
          <w:tcPr>
            <w:tcW w:w="1666" w:type="pct"/>
            <w:vAlign w:val="center"/>
          </w:tcPr>
          <w:p w:rsidR="00BA6D37" w:rsidRDefault="00314976">
            <w:pPr>
              <w:spacing w:after="0" w:line="560" w:lineRule="exact"/>
              <w:jc w:val="both"/>
              <w:rPr>
                <w:rFonts w:ascii="Times New Roman" w:eastAsia="仿宋_GB2312" w:hAnsi="Times New Roman"/>
                <w:sz w:val="24"/>
                <w:szCs w:val="24"/>
              </w:rPr>
            </w:pPr>
            <w:r>
              <w:rPr>
                <w:rFonts w:ascii="Times New Roman" w:eastAsia="仿宋_GB2312" w:hAnsi="Times New Roman"/>
                <w:sz w:val="24"/>
                <w:szCs w:val="24"/>
              </w:rPr>
              <w:t>INF</w:t>
            </w:r>
          </w:p>
        </w:tc>
        <w:tc>
          <w:tcPr>
            <w:tcW w:w="1667" w:type="pct"/>
            <w:vAlign w:val="center"/>
          </w:tcPr>
          <w:p w:rsidR="00BA6D37" w:rsidRDefault="00314976">
            <w:pPr>
              <w:spacing w:after="0" w:line="560" w:lineRule="exact"/>
              <w:ind w:rightChars="236" w:right="519"/>
              <w:jc w:val="both"/>
              <w:rPr>
                <w:rFonts w:ascii="Times New Roman" w:eastAsia="仿宋_GB2312" w:hAnsi="Times New Roman"/>
                <w:sz w:val="24"/>
                <w:szCs w:val="24"/>
              </w:rPr>
            </w:pPr>
            <w:r>
              <w:rPr>
                <w:rFonts w:ascii="Times New Roman" w:eastAsia="仿宋_GB2312" w:hAnsi="Times New Roman"/>
                <w:sz w:val="24"/>
                <w:szCs w:val="24"/>
              </w:rPr>
              <w:t>1.2645</w:t>
            </w:r>
          </w:p>
        </w:tc>
      </w:tr>
    </w:tbl>
    <w:p w:rsidR="00BA6D37" w:rsidRDefault="00314976">
      <w:pPr>
        <w:pStyle w:val="af2"/>
        <w:wordWrap/>
        <w:spacing w:line="560" w:lineRule="exact"/>
      </w:pPr>
      <w:r>
        <w:rPr>
          <w:rFonts w:hint="eastAsia"/>
        </w:rPr>
        <w:t>（四</w:t>
      </w:r>
      <w:r>
        <w:t>）</w:t>
      </w:r>
      <w:r>
        <w:rPr>
          <w:rFonts w:hint="eastAsia"/>
        </w:rPr>
        <w:t>实例文档</w:t>
      </w:r>
    </w:p>
    <w:p w:rsidR="00BA6D37" w:rsidRDefault="00314976">
      <w:pPr>
        <w:pStyle w:val="af4"/>
        <w:wordWrap/>
        <w:spacing w:after="0" w:line="560" w:lineRule="exact"/>
      </w:pPr>
      <w:r>
        <w:rPr>
          <w:rFonts w:hint="eastAsia"/>
        </w:rPr>
        <w:lastRenderedPageBreak/>
        <w:t>编制生成实例文档后，报送报告的私募管理人或其他机构应基于</w:t>
      </w:r>
      <w:r>
        <w:rPr>
          <w:rFonts w:hint="eastAsia"/>
        </w:rPr>
        <w:t>GB/T25500-2010</w:t>
      </w:r>
      <w:r>
        <w:rPr>
          <w:rFonts w:hint="eastAsia"/>
        </w:rPr>
        <w:t>《可扩展商业报告语言（</w:t>
      </w:r>
      <w:r>
        <w:rPr>
          <w:rFonts w:hint="eastAsia"/>
        </w:rPr>
        <w:t>XBRL</w:t>
      </w:r>
      <w:r>
        <w:rPr>
          <w:rFonts w:hint="eastAsia"/>
        </w:rPr>
        <w:t>）技术规范》系列国家标准和本指南的其他规定进行校验。此外，对输入的事实值的数据类型也应进行校验，以避免以下基本错误：将字符串文本赋给金额属性的概念，或将期间型的上下文指定给时点型的概念。</w:t>
      </w:r>
    </w:p>
    <w:p w:rsidR="00BA6D37" w:rsidRDefault="00314976">
      <w:pPr>
        <w:pStyle w:val="af4"/>
        <w:wordWrap/>
        <w:spacing w:after="0" w:line="560" w:lineRule="exact"/>
      </w:pPr>
      <w:r>
        <w:rPr>
          <w:rFonts w:hint="eastAsia"/>
        </w:rPr>
        <w:t>在验证的最后阶段，报送报告的私募管理人或其他机构应将实例文档与实际报送报告数据进行比对，以确保实际报送报告中的所有事实值已被正确地标记并包含在实例文档中。</w:t>
      </w:r>
    </w:p>
    <w:p w:rsidR="00BA6D37" w:rsidRDefault="00314976">
      <w:pPr>
        <w:rPr>
          <w:rFonts w:ascii="Times New Roman" w:eastAsia="仿宋_GB2312" w:hAnsi="Times New Roman" w:cs="Arial"/>
          <w:sz w:val="28"/>
          <w:szCs w:val="32"/>
        </w:rPr>
      </w:pPr>
      <w:r>
        <w:br w:type="page"/>
      </w:r>
    </w:p>
    <w:p w:rsidR="00BA6D37" w:rsidRDefault="00314976">
      <w:pPr>
        <w:spacing w:before="120" w:after="0" w:line="5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lastRenderedPageBreak/>
        <w:t>附录</w:t>
      </w:r>
      <w:r>
        <w:rPr>
          <w:rFonts w:ascii="Times New Roman" w:eastAsia="华文中宋" w:hAnsi="Times New Roman" w:cs="Times New Roman" w:hint="eastAsia"/>
          <w:sz w:val="32"/>
          <w:szCs w:val="32"/>
        </w:rPr>
        <w:t>1</w:t>
      </w:r>
      <w:r>
        <w:rPr>
          <w:rFonts w:ascii="Times New Roman" w:eastAsia="华文中宋" w:hAnsi="Times New Roman" w:cs="Times New Roman"/>
          <w:sz w:val="32"/>
          <w:szCs w:val="32"/>
        </w:rPr>
        <w:t>：</w:t>
      </w:r>
    </w:p>
    <w:p w:rsidR="00BA6D37" w:rsidRDefault="00314976">
      <w:pPr>
        <w:spacing w:after="0" w:line="560" w:lineRule="exact"/>
        <w:jc w:val="center"/>
        <w:outlineLvl w:val="0"/>
        <w:rPr>
          <w:rFonts w:ascii="黑体" w:eastAsia="黑体" w:hAnsi="黑体" w:cs="Arial"/>
          <w:sz w:val="44"/>
          <w:szCs w:val="44"/>
        </w:rPr>
      </w:pPr>
      <w:r>
        <w:rPr>
          <w:rFonts w:ascii="黑体" w:eastAsia="黑体" w:hAnsi="黑体" w:cs="Arial" w:hint="eastAsia"/>
          <w:sz w:val="44"/>
          <w:szCs w:val="44"/>
        </w:rPr>
        <w:t>分类标准术语表</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1</w:t>
      </w:r>
      <w:r>
        <w:rPr>
          <w:rFonts w:ascii="Times New Roman" w:eastAsia="仿宋_GB2312" w:hAnsi="Times New Roman" w:hint="eastAsia"/>
          <w:b/>
          <w:sz w:val="28"/>
          <w:szCs w:val="28"/>
        </w:rPr>
        <w:t>．</w:t>
      </w:r>
      <w:r>
        <w:rPr>
          <w:rFonts w:ascii="Times New Roman" w:eastAsia="仿宋_GB2312" w:hAnsi="Times New Roman"/>
          <w:b/>
          <w:sz w:val="28"/>
          <w:szCs w:val="28"/>
        </w:rPr>
        <w:t>可扩展商业报告语言</w:t>
      </w:r>
      <w:r>
        <w:rPr>
          <w:rFonts w:ascii="Times New Roman" w:eastAsia="仿宋_GB2312" w:hAnsi="Times New Roman" w:hint="eastAsia"/>
          <w:b/>
          <w:sz w:val="28"/>
          <w:szCs w:val="28"/>
        </w:rPr>
        <w:t>（</w:t>
      </w:r>
      <w:r>
        <w:rPr>
          <w:rFonts w:ascii="Times New Roman" w:eastAsia="仿宋_GB2312" w:hAnsi="Times New Roman"/>
          <w:b/>
          <w:sz w:val="28"/>
          <w:szCs w:val="28"/>
        </w:rPr>
        <w:t>Extensible Business Reporting Language</w:t>
      </w:r>
      <w:r>
        <w:rPr>
          <w:rFonts w:ascii="Times New Roman" w:eastAsia="仿宋_GB2312" w:hAnsi="Times New Roman" w:hint="eastAsia"/>
          <w:b/>
          <w:sz w:val="28"/>
          <w:szCs w:val="28"/>
        </w:rPr>
        <w:t>，</w:t>
      </w:r>
      <w:r>
        <w:rPr>
          <w:rFonts w:ascii="Times New Roman" w:eastAsia="仿宋_GB2312" w:hAnsi="Times New Roman"/>
          <w:b/>
          <w:sz w:val="28"/>
          <w:szCs w:val="28"/>
        </w:rPr>
        <w:t>XBRL</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一种基于可扩展标记语言（</w:t>
      </w:r>
      <w:r>
        <w:rPr>
          <w:rFonts w:ascii="Times New Roman" w:eastAsia="仿宋_GB2312" w:hAnsi="Times New Roman"/>
          <w:sz w:val="28"/>
          <w:szCs w:val="28"/>
        </w:rPr>
        <w:t>Extensible Markup Language</w:t>
      </w:r>
      <w:r>
        <w:rPr>
          <w:rFonts w:ascii="Times New Roman" w:eastAsia="仿宋_GB2312" w:hAnsi="Times New Roman"/>
          <w:sz w:val="28"/>
          <w:szCs w:val="28"/>
        </w:rPr>
        <w:t>，</w:t>
      </w:r>
      <w:r>
        <w:rPr>
          <w:rFonts w:ascii="Times New Roman" w:eastAsia="仿宋_GB2312" w:hAnsi="Times New Roman"/>
          <w:sz w:val="28"/>
          <w:szCs w:val="28"/>
        </w:rPr>
        <w:t>XML</w:t>
      </w:r>
      <w:r>
        <w:rPr>
          <w:rFonts w:ascii="Times New Roman" w:eastAsia="仿宋_GB2312" w:hAnsi="Times New Roman"/>
          <w:sz w:val="28"/>
          <w:szCs w:val="28"/>
        </w:rPr>
        <w:t>）的开放性业务报告技术标准。参见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2</w:t>
      </w:r>
      <w:r>
        <w:rPr>
          <w:rFonts w:ascii="Times New Roman" w:eastAsia="仿宋_GB2312" w:hAnsi="Times New Roman" w:hint="eastAsia"/>
          <w:b/>
          <w:sz w:val="28"/>
          <w:szCs w:val="28"/>
        </w:rPr>
        <w:t>．</w:t>
      </w:r>
      <w:r>
        <w:rPr>
          <w:rFonts w:ascii="Times New Roman" w:eastAsia="仿宋_GB2312" w:hAnsi="Times New Roman"/>
          <w:b/>
          <w:sz w:val="28"/>
          <w:szCs w:val="28"/>
        </w:rPr>
        <w:t>分类标准</w:t>
      </w:r>
      <w:r>
        <w:rPr>
          <w:rFonts w:ascii="Times New Roman" w:eastAsia="仿宋_GB2312" w:hAnsi="Times New Roman" w:hint="eastAsia"/>
          <w:b/>
          <w:sz w:val="28"/>
          <w:szCs w:val="28"/>
        </w:rPr>
        <w:t>（</w:t>
      </w:r>
      <w:r>
        <w:rPr>
          <w:rFonts w:ascii="Times New Roman" w:eastAsia="仿宋_GB2312" w:hAnsi="Times New Roman" w:hint="eastAsia"/>
          <w:b/>
          <w:sz w:val="28"/>
          <w:szCs w:val="28"/>
        </w:rPr>
        <w:t>T</w:t>
      </w:r>
      <w:r>
        <w:rPr>
          <w:rFonts w:ascii="Times New Roman" w:eastAsia="仿宋_GB2312" w:hAnsi="Times New Roman"/>
          <w:b/>
          <w:sz w:val="28"/>
          <w:szCs w:val="28"/>
        </w:rPr>
        <w:t>axonomy</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XML</w:t>
      </w:r>
      <w:r>
        <w:rPr>
          <w:rFonts w:ascii="Times New Roman" w:eastAsia="仿宋_GB2312" w:hAnsi="Times New Roman"/>
          <w:sz w:val="28"/>
          <w:szCs w:val="28"/>
        </w:rPr>
        <w:t>模式文件和</w:t>
      </w:r>
      <w:r>
        <w:rPr>
          <w:rFonts w:ascii="Times New Roman" w:eastAsia="仿宋_GB2312" w:hAnsi="Times New Roman"/>
          <w:sz w:val="28"/>
          <w:szCs w:val="28"/>
        </w:rPr>
        <w:t>XBRL</w:t>
      </w:r>
      <w:r>
        <w:rPr>
          <w:rFonts w:ascii="Times New Roman" w:eastAsia="仿宋_GB2312" w:hAnsi="Times New Roman"/>
          <w:sz w:val="28"/>
          <w:szCs w:val="28"/>
        </w:rPr>
        <w:t>链接库的组合。参见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3</w:t>
      </w:r>
      <w:r>
        <w:rPr>
          <w:rFonts w:ascii="Times New Roman" w:eastAsia="仿宋_GB2312" w:hAnsi="Times New Roman" w:hint="eastAsia"/>
          <w:b/>
          <w:sz w:val="28"/>
          <w:szCs w:val="28"/>
        </w:rPr>
        <w:t>．</w:t>
      </w:r>
      <w:r>
        <w:rPr>
          <w:rFonts w:ascii="Times New Roman" w:eastAsia="仿宋_GB2312" w:hAnsi="Times New Roman"/>
          <w:b/>
          <w:sz w:val="28"/>
          <w:szCs w:val="28"/>
        </w:rPr>
        <w:t>分类标准模式</w:t>
      </w:r>
      <w:r>
        <w:rPr>
          <w:rFonts w:ascii="Times New Roman" w:eastAsia="仿宋_GB2312" w:hAnsi="Times New Roman" w:hint="eastAsia"/>
          <w:b/>
          <w:sz w:val="28"/>
          <w:szCs w:val="28"/>
        </w:rPr>
        <w:t>（</w:t>
      </w:r>
      <w:r>
        <w:rPr>
          <w:rFonts w:ascii="Times New Roman" w:eastAsia="仿宋_GB2312" w:hAnsi="Times New Roman" w:hint="eastAsia"/>
          <w:b/>
          <w:sz w:val="28"/>
          <w:szCs w:val="28"/>
        </w:rPr>
        <w:t>T</w:t>
      </w:r>
      <w:r>
        <w:rPr>
          <w:rFonts w:ascii="Times New Roman" w:eastAsia="仿宋_GB2312" w:hAnsi="Times New Roman"/>
          <w:b/>
          <w:sz w:val="28"/>
          <w:szCs w:val="28"/>
        </w:rPr>
        <w:t xml:space="preserve">axonomy </w:t>
      </w:r>
      <w:r>
        <w:rPr>
          <w:rFonts w:ascii="Times New Roman" w:eastAsia="仿宋_GB2312" w:hAnsi="Times New Roman" w:hint="eastAsia"/>
          <w:b/>
          <w:sz w:val="28"/>
          <w:szCs w:val="28"/>
        </w:rPr>
        <w:t>S</w:t>
      </w:r>
      <w:r>
        <w:rPr>
          <w:rFonts w:ascii="Times New Roman" w:eastAsia="仿宋_GB2312" w:hAnsi="Times New Roman"/>
          <w:b/>
          <w:sz w:val="28"/>
          <w:szCs w:val="28"/>
        </w:rPr>
        <w:t>chema</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定义</w:t>
      </w:r>
      <w:r>
        <w:rPr>
          <w:rFonts w:ascii="Times New Roman" w:eastAsia="仿宋_GB2312" w:hAnsi="Times New Roman"/>
          <w:sz w:val="28"/>
          <w:szCs w:val="28"/>
        </w:rPr>
        <w:t>XBRL</w:t>
      </w:r>
      <w:r>
        <w:rPr>
          <w:rFonts w:ascii="Times New Roman" w:eastAsia="仿宋_GB2312" w:hAnsi="Times New Roman"/>
          <w:sz w:val="28"/>
          <w:szCs w:val="28"/>
        </w:rPr>
        <w:t>概念语法的</w:t>
      </w:r>
      <w:r>
        <w:rPr>
          <w:rFonts w:ascii="Times New Roman" w:eastAsia="仿宋_GB2312" w:hAnsi="Times New Roman"/>
          <w:sz w:val="28"/>
          <w:szCs w:val="28"/>
        </w:rPr>
        <w:t>XML</w:t>
      </w:r>
      <w:r>
        <w:rPr>
          <w:rFonts w:ascii="Times New Roman" w:eastAsia="仿宋_GB2312" w:hAnsi="Times New Roman"/>
          <w:sz w:val="28"/>
          <w:szCs w:val="28"/>
        </w:rPr>
        <w:t>模式文件。参见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4</w:t>
      </w:r>
      <w:r>
        <w:rPr>
          <w:rFonts w:ascii="Times New Roman" w:eastAsia="仿宋_GB2312" w:hAnsi="Times New Roman" w:hint="eastAsia"/>
          <w:b/>
          <w:sz w:val="28"/>
          <w:szCs w:val="28"/>
        </w:rPr>
        <w:t>．</w:t>
      </w:r>
      <w:r>
        <w:rPr>
          <w:rFonts w:ascii="Times New Roman" w:eastAsia="仿宋_GB2312" w:hAnsi="Times New Roman"/>
          <w:b/>
          <w:sz w:val="28"/>
          <w:szCs w:val="28"/>
        </w:rPr>
        <w:t>可发现分类标准集</w:t>
      </w:r>
      <w:r>
        <w:rPr>
          <w:rFonts w:ascii="Times New Roman" w:eastAsia="仿宋_GB2312" w:hAnsi="Times New Roman" w:hint="eastAsia"/>
          <w:b/>
          <w:sz w:val="28"/>
          <w:szCs w:val="28"/>
        </w:rPr>
        <w:t>（</w:t>
      </w:r>
      <w:r>
        <w:rPr>
          <w:rFonts w:ascii="Times New Roman" w:eastAsia="仿宋_GB2312" w:hAnsi="Times New Roman"/>
          <w:b/>
          <w:sz w:val="28"/>
          <w:szCs w:val="28"/>
        </w:rPr>
        <w:t>Discoverable Taxonomy Set</w:t>
      </w:r>
      <w:r>
        <w:rPr>
          <w:rFonts w:ascii="Times New Roman" w:eastAsia="仿宋_GB2312" w:hAnsi="Times New Roman" w:hint="eastAsia"/>
          <w:b/>
          <w:sz w:val="28"/>
          <w:szCs w:val="28"/>
        </w:rPr>
        <w:t>，</w:t>
      </w:r>
      <w:r>
        <w:rPr>
          <w:rFonts w:ascii="Times New Roman" w:eastAsia="仿宋_GB2312" w:hAnsi="Times New Roman"/>
          <w:b/>
          <w:sz w:val="28"/>
          <w:szCs w:val="28"/>
        </w:rPr>
        <w:t>DTS</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通过引用形成的一组分类标准模式和链接库的集合。参见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5</w:t>
      </w:r>
      <w:r>
        <w:rPr>
          <w:rFonts w:ascii="Times New Roman" w:eastAsia="仿宋_GB2312" w:hAnsi="Times New Roman" w:hint="eastAsia"/>
          <w:b/>
          <w:sz w:val="28"/>
          <w:szCs w:val="28"/>
        </w:rPr>
        <w:t>．</w:t>
      </w:r>
      <w:r>
        <w:rPr>
          <w:rFonts w:ascii="Times New Roman" w:eastAsia="仿宋_GB2312" w:hAnsi="Times New Roman"/>
          <w:b/>
          <w:sz w:val="28"/>
          <w:szCs w:val="28"/>
        </w:rPr>
        <w:t>入口</w:t>
      </w:r>
      <w:r>
        <w:rPr>
          <w:rFonts w:ascii="Times New Roman" w:eastAsia="仿宋_GB2312" w:hAnsi="Times New Roman" w:hint="eastAsia"/>
          <w:b/>
          <w:sz w:val="28"/>
          <w:szCs w:val="28"/>
        </w:rPr>
        <w:t>（</w:t>
      </w:r>
      <w:r>
        <w:rPr>
          <w:rFonts w:ascii="Times New Roman" w:eastAsia="仿宋_GB2312" w:hAnsi="Times New Roman" w:hint="eastAsia"/>
          <w:b/>
          <w:sz w:val="28"/>
          <w:szCs w:val="28"/>
        </w:rPr>
        <w:t>E</w:t>
      </w:r>
      <w:r>
        <w:rPr>
          <w:rFonts w:ascii="Times New Roman" w:eastAsia="仿宋_GB2312" w:hAnsi="Times New Roman"/>
          <w:b/>
          <w:sz w:val="28"/>
          <w:szCs w:val="28"/>
        </w:rPr>
        <w:t xml:space="preserve">ntry </w:t>
      </w:r>
      <w:r>
        <w:rPr>
          <w:rFonts w:ascii="Times New Roman" w:eastAsia="仿宋_GB2312" w:hAnsi="Times New Roman" w:hint="eastAsia"/>
          <w:b/>
          <w:sz w:val="28"/>
          <w:szCs w:val="28"/>
        </w:rPr>
        <w:t>P</w:t>
      </w:r>
      <w:r>
        <w:rPr>
          <w:rFonts w:ascii="Times New Roman" w:eastAsia="仿宋_GB2312" w:hAnsi="Times New Roman"/>
          <w:b/>
          <w:sz w:val="28"/>
          <w:szCs w:val="28"/>
        </w:rPr>
        <w:t>oint</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入口，即入口模式文件，将分类标准中的模式文件和链接库文件组织在一起，为扩展者和使用者提供了访问分类标准的方式。</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6</w:t>
      </w:r>
      <w:r>
        <w:rPr>
          <w:rFonts w:ascii="Times New Roman" w:eastAsia="仿宋_GB2312" w:hAnsi="Times New Roman" w:hint="eastAsia"/>
          <w:b/>
          <w:sz w:val="28"/>
          <w:szCs w:val="28"/>
        </w:rPr>
        <w:t>．</w:t>
      </w:r>
      <w:r>
        <w:rPr>
          <w:rFonts w:ascii="Times New Roman" w:eastAsia="仿宋_GB2312" w:hAnsi="Times New Roman"/>
          <w:b/>
          <w:sz w:val="28"/>
          <w:szCs w:val="28"/>
        </w:rPr>
        <w:t>扩展</w:t>
      </w:r>
      <w:r>
        <w:rPr>
          <w:rFonts w:ascii="Times New Roman" w:eastAsia="仿宋_GB2312" w:hAnsi="Times New Roman" w:hint="eastAsia"/>
          <w:b/>
          <w:sz w:val="28"/>
          <w:szCs w:val="28"/>
        </w:rPr>
        <w:t>链接</w:t>
      </w:r>
      <w:r>
        <w:rPr>
          <w:rFonts w:ascii="Times New Roman" w:eastAsia="仿宋_GB2312" w:hAnsi="Times New Roman"/>
          <w:b/>
          <w:sz w:val="28"/>
          <w:szCs w:val="28"/>
        </w:rPr>
        <w:t>角色</w:t>
      </w:r>
      <w:r>
        <w:rPr>
          <w:rFonts w:ascii="Times New Roman" w:eastAsia="仿宋_GB2312" w:hAnsi="Times New Roman" w:hint="eastAsia"/>
          <w:b/>
          <w:sz w:val="28"/>
          <w:szCs w:val="28"/>
        </w:rPr>
        <w:t>（</w:t>
      </w:r>
      <w:r>
        <w:rPr>
          <w:rFonts w:ascii="Times New Roman" w:eastAsia="仿宋_GB2312" w:hAnsi="Times New Roman"/>
          <w:b/>
          <w:sz w:val="28"/>
          <w:szCs w:val="28"/>
        </w:rPr>
        <w:t>Extended Link Role</w:t>
      </w:r>
      <w:r>
        <w:rPr>
          <w:rFonts w:ascii="Times New Roman" w:eastAsia="仿宋_GB2312" w:hAnsi="Times New Roman" w:hint="eastAsia"/>
          <w:b/>
          <w:sz w:val="28"/>
          <w:szCs w:val="28"/>
        </w:rPr>
        <w:t>，</w:t>
      </w:r>
      <w:r>
        <w:rPr>
          <w:rFonts w:ascii="Times New Roman" w:eastAsia="仿宋_GB2312" w:hAnsi="Times New Roman"/>
          <w:b/>
          <w:sz w:val="28"/>
          <w:szCs w:val="28"/>
        </w:rPr>
        <w:t>ELR</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扩展链接角色是一组报告章节、段落、表格的集合。</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7</w:t>
      </w:r>
      <w:r>
        <w:rPr>
          <w:rFonts w:ascii="Times New Roman" w:eastAsia="仿宋_GB2312" w:hAnsi="Times New Roman" w:hint="eastAsia"/>
          <w:b/>
          <w:sz w:val="28"/>
          <w:szCs w:val="28"/>
        </w:rPr>
        <w:t>．</w:t>
      </w:r>
      <w:r>
        <w:rPr>
          <w:rFonts w:ascii="Times New Roman" w:eastAsia="仿宋_GB2312" w:hAnsi="Times New Roman"/>
          <w:b/>
          <w:sz w:val="28"/>
          <w:szCs w:val="28"/>
        </w:rPr>
        <w:t>绝对路径和相对路径</w:t>
      </w:r>
      <w:r>
        <w:rPr>
          <w:rFonts w:ascii="Times New Roman" w:eastAsia="仿宋_GB2312" w:hAnsi="Times New Roman" w:hint="eastAsia"/>
          <w:b/>
          <w:sz w:val="28"/>
          <w:szCs w:val="28"/>
        </w:rPr>
        <w:t>（</w:t>
      </w:r>
      <w:r>
        <w:rPr>
          <w:rFonts w:ascii="Times New Roman" w:eastAsia="仿宋_GB2312" w:hAnsi="Times New Roman" w:hint="eastAsia"/>
          <w:b/>
          <w:sz w:val="28"/>
          <w:szCs w:val="28"/>
        </w:rPr>
        <w:t>A</w:t>
      </w:r>
      <w:r>
        <w:rPr>
          <w:rFonts w:ascii="Times New Roman" w:eastAsia="仿宋_GB2312" w:hAnsi="Times New Roman"/>
          <w:b/>
          <w:sz w:val="28"/>
          <w:szCs w:val="28"/>
        </w:rPr>
        <w:t xml:space="preserve">bsolute and </w:t>
      </w:r>
      <w:r>
        <w:rPr>
          <w:rFonts w:ascii="Times New Roman" w:eastAsia="仿宋_GB2312" w:hAnsi="Times New Roman" w:hint="eastAsia"/>
          <w:b/>
          <w:sz w:val="28"/>
          <w:szCs w:val="28"/>
        </w:rPr>
        <w:t>R</w:t>
      </w:r>
      <w:r>
        <w:rPr>
          <w:rFonts w:ascii="Times New Roman" w:eastAsia="仿宋_GB2312" w:hAnsi="Times New Roman"/>
          <w:b/>
          <w:sz w:val="28"/>
          <w:szCs w:val="28"/>
        </w:rPr>
        <w:t xml:space="preserve">elative </w:t>
      </w:r>
      <w:r>
        <w:rPr>
          <w:rFonts w:ascii="Times New Roman" w:eastAsia="仿宋_GB2312" w:hAnsi="Times New Roman" w:hint="eastAsia"/>
          <w:b/>
          <w:sz w:val="28"/>
          <w:szCs w:val="28"/>
        </w:rPr>
        <w:t>P</w:t>
      </w:r>
      <w:r>
        <w:rPr>
          <w:rFonts w:ascii="Times New Roman" w:eastAsia="仿宋_GB2312" w:hAnsi="Times New Roman"/>
          <w:b/>
          <w:sz w:val="28"/>
          <w:szCs w:val="28"/>
        </w:rPr>
        <w:t>aths</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绝对路径提供了分类标准的模式文件和扩展链接库文件完整的路径引用方式。相对路径则以分类标准入口模式文件所在目录为当前目录。</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8</w:t>
      </w:r>
      <w:r>
        <w:rPr>
          <w:rFonts w:ascii="Times New Roman" w:eastAsia="仿宋_GB2312" w:hAnsi="Times New Roman" w:hint="eastAsia"/>
          <w:b/>
          <w:sz w:val="28"/>
          <w:szCs w:val="28"/>
        </w:rPr>
        <w:t>．</w:t>
      </w:r>
      <w:r>
        <w:rPr>
          <w:rFonts w:ascii="Times New Roman" w:eastAsia="仿宋_GB2312" w:hAnsi="Times New Roman"/>
          <w:b/>
          <w:sz w:val="28"/>
          <w:szCs w:val="28"/>
        </w:rPr>
        <w:t>命名空间</w:t>
      </w:r>
      <w:r>
        <w:rPr>
          <w:rFonts w:ascii="Times New Roman" w:eastAsia="仿宋_GB2312" w:hAnsi="Times New Roman" w:hint="eastAsia"/>
          <w:b/>
          <w:sz w:val="28"/>
          <w:szCs w:val="28"/>
        </w:rPr>
        <w:t>（</w:t>
      </w:r>
      <w:r>
        <w:rPr>
          <w:rFonts w:ascii="Times New Roman" w:eastAsia="仿宋_GB2312" w:hAnsi="Times New Roman" w:hint="eastAsia"/>
          <w:b/>
          <w:sz w:val="28"/>
          <w:szCs w:val="28"/>
        </w:rPr>
        <w:t>N</w:t>
      </w:r>
      <w:r>
        <w:rPr>
          <w:rFonts w:ascii="Times New Roman" w:eastAsia="仿宋_GB2312" w:hAnsi="Times New Roman"/>
          <w:b/>
          <w:sz w:val="28"/>
          <w:szCs w:val="28"/>
        </w:rPr>
        <w:t>amespace</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命名空间限定了分类标准元素的定义区间。</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9</w:t>
      </w:r>
      <w:r>
        <w:rPr>
          <w:rFonts w:ascii="Times New Roman" w:eastAsia="仿宋_GB2312" w:hAnsi="Times New Roman" w:hint="eastAsia"/>
          <w:b/>
          <w:sz w:val="28"/>
          <w:szCs w:val="28"/>
        </w:rPr>
        <w:t>．</w:t>
      </w:r>
      <w:r>
        <w:rPr>
          <w:rFonts w:ascii="Times New Roman" w:eastAsia="仿宋_GB2312" w:hAnsi="Times New Roman"/>
          <w:b/>
          <w:sz w:val="28"/>
          <w:szCs w:val="28"/>
        </w:rPr>
        <w:t>事实</w:t>
      </w:r>
      <w:r>
        <w:rPr>
          <w:rFonts w:ascii="Times New Roman" w:eastAsia="仿宋_GB2312" w:hAnsi="Times New Roman" w:hint="eastAsia"/>
          <w:b/>
          <w:sz w:val="28"/>
          <w:szCs w:val="28"/>
        </w:rPr>
        <w:t>值（</w:t>
      </w:r>
      <w:r>
        <w:rPr>
          <w:rFonts w:ascii="Times New Roman" w:eastAsia="仿宋_GB2312" w:hAnsi="Times New Roman" w:hint="eastAsia"/>
          <w:b/>
          <w:sz w:val="28"/>
          <w:szCs w:val="28"/>
        </w:rPr>
        <w:t>F</w:t>
      </w:r>
      <w:r>
        <w:rPr>
          <w:rFonts w:ascii="Times New Roman" w:eastAsia="仿宋_GB2312" w:hAnsi="Times New Roman"/>
          <w:b/>
          <w:sz w:val="28"/>
          <w:szCs w:val="28"/>
        </w:rPr>
        <w:t>act</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分类标准所描述的具体报送报告的内容</w:t>
      </w:r>
      <w:r>
        <w:rPr>
          <w:rFonts w:ascii="Times New Roman" w:eastAsia="仿宋_GB2312" w:hAnsi="Times New Roman"/>
          <w:sz w:val="28"/>
          <w:szCs w:val="28"/>
        </w:rPr>
        <w:t>。</w:t>
      </w:r>
      <w:r>
        <w:rPr>
          <w:rFonts w:ascii="Times New Roman" w:eastAsia="仿宋_GB2312" w:hAnsi="Times New Roman" w:hint="eastAsia"/>
          <w:sz w:val="28"/>
          <w:szCs w:val="28"/>
        </w:rPr>
        <w:t>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10</w:t>
      </w:r>
      <w:r>
        <w:rPr>
          <w:rFonts w:ascii="Times New Roman" w:eastAsia="仿宋_GB2312" w:hAnsi="Times New Roman" w:hint="eastAsia"/>
          <w:b/>
          <w:sz w:val="28"/>
          <w:szCs w:val="28"/>
        </w:rPr>
        <w:t>．</w:t>
      </w:r>
      <w:r>
        <w:rPr>
          <w:rFonts w:ascii="Times New Roman" w:eastAsia="仿宋_GB2312" w:hAnsi="Times New Roman"/>
          <w:b/>
          <w:sz w:val="28"/>
          <w:szCs w:val="28"/>
        </w:rPr>
        <w:t>元素</w:t>
      </w:r>
      <w:r>
        <w:rPr>
          <w:rFonts w:ascii="Times New Roman" w:eastAsia="仿宋_GB2312" w:hAnsi="Times New Roman" w:hint="eastAsia"/>
          <w:b/>
          <w:sz w:val="28"/>
          <w:szCs w:val="28"/>
        </w:rPr>
        <w:t>（</w:t>
      </w:r>
      <w:r>
        <w:rPr>
          <w:rFonts w:ascii="Times New Roman" w:eastAsia="仿宋_GB2312" w:hAnsi="Times New Roman" w:hint="eastAsia"/>
          <w:b/>
          <w:sz w:val="28"/>
          <w:szCs w:val="28"/>
        </w:rPr>
        <w:t>E</w:t>
      </w:r>
      <w:r>
        <w:rPr>
          <w:rFonts w:ascii="Times New Roman" w:eastAsia="仿宋_GB2312" w:hAnsi="Times New Roman"/>
          <w:b/>
          <w:sz w:val="28"/>
          <w:szCs w:val="28"/>
        </w:rPr>
        <w:t>lement</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 xml:space="preserve">XML </w:t>
      </w:r>
      <w:r>
        <w:rPr>
          <w:rFonts w:ascii="Times New Roman" w:eastAsia="仿宋_GB2312" w:hAnsi="Times New Roman"/>
          <w:sz w:val="28"/>
          <w:szCs w:val="28"/>
        </w:rPr>
        <w:t>模式文件中定义的</w:t>
      </w:r>
      <w:r>
        <w:rPr>
          <w:rFonts w:ascii="Times New Roman" w:eastAsia="仿宋_GB2312" w:hAnsi="Times New Roman"/>
          <w:sz w:val="28"/>
          <w:szCs w:val="28"/>
        </w:rPr>
        <w:t>XML</w:t>
      </w:r>
      <w:r>
        <w:rPr>
          <w:rFonts w:ascii="Times New Roman" w:eastAsia="仿宋_GB2312" w:hAnsi="Times New Roman"/>
          <w:sz w:val="28"/>
          <w:szCs w:val="28"/>
        </w:rPr>
        <w:t>元素。参见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11</w:t>
      </w:r>
      <w:r>
        <w:rPr>
          <w:rFonts w:ascii="Times New Roman" w:eastAsia="仿宋_GB2312" w:hAnsi="Times New Roman" w:hint="eastAsia"/>
          <w:b/>
          <w:sz w:val="28"/>
          <w:szCs w:val="28"/>
        </w:rPr>
        <w:t>．</w:t>
      </w:r>
      <w:r>
        <w:rPr>
          <w:rFonts w:ascii="Times New Roman" w:eastAsia="仿宋_GB2312" w:hAnsi="Times New Roman"/>
          <w:b/>
          <w:sz w:val="28"/>
          <w:szCs w:val="28"/>
        </w:rPr>
        <w:t>抽象元素</w:t>
      </w:r>
      <w:r>
        <w:rPr>
          <w:rFonts w:ascii="Times New Roman" w:eastAsia="仿宋_GB2312" w:hAnsi="Times New Roman" w:hint="eastAsia"/>
          <w:b/>
          <w:sz w:val="28"/>
          <w:szCs w:val="28"/>
        </w:rPr>
        <w:t>（</w:t>
      </w:r>
      <w:r>
        <w:rPr>
          <w:rFonts w:ascii="Times New Roman" w:eastAsia="仿宋_GB2312" w:hAnsi="Times New Roman" w:hint="eastAsia"/>
          <w:b/>
          <w:sz w:val="28"/>
          <w:szCs w:val="28"/>
        </w:rPr>
        <w:t>A</w:t>
      </w:r>
      <w:r>
        <w:rPr>
          <w:rFonts w:ascii="Times New Roman" w:eastAsia="仿宋_GB2312" w:hAnsi="Times New Roman"/>
          <w:b/>
          <w:sz w:val="28"/>
          <w:szCs w:val="28"/>
        </w:rPr>
        <w:t xml:space="preserve">bstract </w:t>
      </w:r>
      <w:r>
        <w:rPr>
          <w:rFonts w:ascii="Times New Roman" w:eastAsia="仿宋_GB2312" w:hAnsi="Times New Roman" w:hint="eastAsia"/>
          <w:b/>
          <w:sz w:val="28"/>
          <w:szCs w:val="28"/>
        </w:rPr>
        <w:t>E</w:t>
      </w:r>
      <w:r>
        <w:rPr>
          <w:rFonts w:ascii="Times New Roman" w:eastAsia="仿宋_GB2312" w:hAnsi="Times New Roman"/>
          <w:b/>
          <w:sz w:val="28"/>
          <w:szCs w:val="28"/>
        </w:rPr>
        <w:t>lement</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对应报送报告内容概念在逻辑上没有具体值、不能在</w:t>
      </w:r>
      <w:r>
        <w:rPr>
          <w:rFonts w:ascii="Times New Roman" w:eastAsia="仿宋_GB2312" w:hAnsi="Times New Roman"/>
          <w:sz w:val="28"/>
          <w:szCs w:val="28"/>
        </w:rPr>
        <w:t>XBRL</w:t>
      </w:r>
      <w:r>
        <w:rPr>
          <w:rFonts w:ascii="Times New Roman" w:eastAsia="仿宋_GB2312" w:hAnsi="Times New Roman"/>
          <w:sz w:val="28"/>
          <w:szCs w:val="28"/>
        </w:rPr>
        <w:t>实例中出现的元素，其</w:t>
      </w:r>
      <w:r>
        <w:rPr>
          <w:rFonts w:ascii="Times New Roman" w:eastAsia="仿宋_GB2312" w:hAnsi="Times New Roman"/>
          <w:sz w:val="28"/>
          <w:szCs w:val="28"/>
        </w:rPr>
        <w:t>abstract</w:t>
      </w:r>
      <w:r>
        <w:rPr>
          <w:rFonts w:ascii="Times New Roman" w:eastAsia="仿宋_GB2312" w:hAnsi="Times New Roman"/>
          <w:sz w:val="28"/>
          <w:szCs w:val="28"/>
        </w:rPr>
        <w:t>属性值为</w:t>
      </w:r>
      <w:r>
        <w:rPr>
          <w:rFonts w:ascii="Times New Roman" w:eastAsia="仿宋_GB2312" w:hAnsi="Times New Roman"/>
          <w:sz w:val="28"/>
          <w:szCs w:val="28"/>
        </w:rPr>
        <w:t>true</w:t>
      </w:r>
      <w:r>
        <w:rPr>
          <w:rFonts w:ascii="Times New Roman" w:eastAsia="仿宋_GB2312" w:hAnsi="Times New Roman"/>
          <w:sz w:val="28"/>
          <w:szCs w:val="28"/>
        </w:rPr>
        <w:t>。</w:t>
      </w:r>
      <w:r>
        <w:rPr>
          <w:rFonts w:ascii="Times New Roman" w:eastAsia="仿宋_GB2312" w:hAnsi="Times New Roman" w:hint="eastAsia"/>
          <w:sz w:val="28"/>
          <w:szCs w:val="28"/>
        </w:rPr>
        <w:t>列报链接库可利用抽象元素对概念进行分组展示。参见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12</w:t>
      </w:r>
      <w:r>
        <w:rPr>
          <w:rFonts w:ascii="Times New Roman" w:eastAsia="仿宋_GB2312" w:hAnsi="Times New Roman" w:hint="eastAsia"/>
          <w:b/>
          <w:sz w:val="28"/>
          <w:szCs w:val="28"/>
        </w:rPr>
        <w:t>．</w:t>
      </w:r>
      <w:r>
        <w:rPr>
          <w:rFonts w:ascii="Times New Roman" w:eastAsia="仿宋_GB2312" w:hAnsi="Times New Roman"/>
          <w:b/>
          <w:sz w:val="28"/>
          <w:szCs w:val="28"/>
        </w:rPr>
        <w:t>链接库</w:t>
      </w:r>
      <w:r>
        <w:rPr>
          <w:rFonts w:ascii="Times New Roman" w:eastAsia="仿宋_GB2312" w:hAnsi="Times New Roman" w:hint="eastAsia"/>
          <w:b/>
          <w:sz w:val="28"/>
          <w:szCs w:val="28"/>
        </w:rPr>
        <w:t>（</w:t>
      </w:r>
      <w:r>
        <w:rPr>
          <w:rFonts w:ascii="Times New Roman" w:eastAsia="仿宋_GB2312" w:hAnsi="Times New Roman" w:hint="eastAsia"/>
          <w:b/>
          <w:sz w:val="28"/>
          <w:szCs w:val="28"/>
        </w:rPr>
        <w:t>L</w:t>
      </w:r>
      <w:r>
        <w:rPr>
          <w:rFonts w:ascii="Times New Roman" w:eastAsia="仿宋_GB2312" w:hAnsi="Times New Roman"/>
          <w:b/>
          <w:sz w:val="28"/>
          <w:szCs w:val="28"/>
        </w:rPr>
        <w:t>inkbase</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若干个用于描述分类标准中概念的语义的</w:t>
      </w:r>
      <w:r>
        <w:rPr>
          <w:rFonts w:ascii="Times New Roman" w:eastAsia="仿宋_GB2312" w:hAnsi="Times New Roman"/>
          <w:sz w:val="28"/>
          <w:szCs w:val="28"/>
        </w:rPr>
        <w:t>XLink</w:t>
      </w:r>
      <w:r>
        <w:rPr>
          <w:rFonts w:ascii="Times New Roman" w:eastAsia="仿宋_GB2312" w:hAnsi="Times New Roman"/>
          <w:sz w:val="28"/>
          <w:szCs w:val="28"/>
        </w:rPr>
        <w:t>扩展链接的集合。参见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13</w:t>
      </w:r>
      <w:r>
        <w:rPr>
          <w:rFonts w:ascii="Times New Roman" w:eastAsia="仿宋_GB2312" w:hAnsi="Times New Roman" w:hint="eastAsia"/>
          <w:b/>
          <w:sz w:val="28"/>
          <w:szCs w:val="28"/>
        </w:rPr>
        <w:t>．</w:t>
      </w:r>
      <w:r>
        <w:rPr>
          <w:rFonts w:ascii="Times New Roman" w:eastAsia="仿宋_GB2312" w:hAnsi="Times New Roman"/>
          <w:b/>
          <w:sz w:val="28"/>
          <w:szCs w:val="28"/>
        </w:rPr>
        <w:t>列报链接库</w:t>
      </w:r>
      <w:r>
        <w:rPr>
          <w:rFonts w:ascii="Times New Roman" w:eastAsia="仿宋_GB2312" w:hAnsi="Times New Roman" w:hint="eastAsia"/>
          <w:b/>
          <w:sz w:val="28"/>
          <w:szCs w:val="28"/>
        </w:rPr>
        <w:t>（</w:t>
      </w:r>
      <w:r>
        <w:rPr>
          <w:rFonts w:ascii="Times New Roman" w:eastAsia="仿宋_GB2312" w:hAnsi="Times New Roman" w:hint="eastAsia"/>
          <w:b/>
          <w:sz w:val="28"/>
          <w:szCs w:val="28"/>
        </w:rPr>
        <w:t>P</w:t>
      </w:r>
      <w:r>
        <w:rPr>
          <w:rFonts w:ascii="Times New Roman" w:eastAsia="仿宋_GB2312" w:hAnsi="Times New Roman"/>
          <w:b/>
          <w:sz w:val="28"/>
          <w:szCs w:val="28"/>
        </w:rPr>
        <w:t xml:space="preserve">resentation </w:t>
      </w:r>
      <w:r>
        <w:rPr>
          <w:rFonts w:ascii="Times New Roman" w:eastAsia="仿宋_GB2312" w:hAnsi="Times New Roman" w:hint="eastAsia"/>
          <w:b/>
          <w:sz w:val="28"/>
          <w:szCs w:val="28"/>
        </w:rPr>
        <w:t>L</w:t>
      </w:r>
      <w:r>
        <w:rPr>
          <w:rFonts w:ascii="Times New Roman" w:eastAsia="仿宋_GB2312" w:hAnsi="Times New Roman"/>
          <w:b/>
          <w:sz w:val="28"/>
          <w:szCs w:val="28"/>
        </w:rPr>
        <w:t>inkbase</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列报链接库用于组织分类标准元素之间的层次关系并为之排序。参见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14</w:t>
      </w:r>
      <w:r>
        <w:rPr>
          <w:rFonts w:ascii="Times New Roman" w:eastAsia="仿宋_GB2312" w:hAnsi="Times New Roman" w:hint="eastAsia"/>
          <w:b/>
          <w:sz w:val="28"/>
          <w:szCs w:val="28"/>
        </w:rPr>
        <w:t>．</w:t>
      </w:r>
      <w:r>
        <w:rPr>
          <w:rFonts w:ascii="Times New Roman" w:eastAsia="仿宋_GB2312" w:hAnsi="Times New Roman"/>
          <w:b/>
          <w:sz w:val="28"/>
          <w:szCs w:val="28"/>
        </w:rPr>
        <w:t>定义链接库</w:t>
      </w:r>
      <w:r>
        <w:rPr>
          <w:rFonts w:ascii="Times New Roman" w:eastAsia="仿宋_GB2312" w:hAnsi="Times New Roman" w:hint="eastAsia"/>
          <w:b/>
          <w:sz w:val="28"/>
          <w:szCs w:val="28"/>
        </w:rPr>
        <w:t>（</w:t>
      </w:r>
      <w:r>
        <w:rPr>
          <w:rFonts w:ascii="Times New Roman" w:eastAsia="仿宋_GB2312" w:hAnsi="Times New Roman" w:hint="eastAsia"/>
          <w:b/>
          <w:sz w:val="28"/>
          <w:szCs w:val="28"/>
        </w:rPr>
        <w:t>D</w:t>
      </w:r>
      <w:r>
        <w:rPr>
          <w:rFonts w:ascii="Times New Roman" w:eastAsia="仿宋_GB2312" w:hAnsi="Times New Roman"/>
          <w:b/>
          <w:sz w:val="28"/>
          <w:szCs w:val="28"/>
        </w:rPr>
        <w:t xml:space="preserve">efinition </w:t>
      </w:r>
      <w:r>
        <w:rPr>
          <w:rFonts w:ascii="Times New Roman" w:eastAsia="仿宋_GB2312" w:hAnsi="Times New Roman" w:hint="eastAsia"/>
          <w:b/>
          <w:sz w:val="28"/>
          <w:szCs w:val="28"/>
        </w:rPr>
        <w:t>L</w:t>
      </w:r>
      <w:r>
        <w:rPr>
          <w:rFonts w:ascii="Times New Roman" w:eastAsia="仿宋_GB2312" w:hAnsi="Times New Roman"/>
          <w:b/>
          <w:sz w:val="28"/>
          <w:szCs w:val="28"/>
        </w:rPr>
        <w:t>inkbase</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定义链接库包含一个概念与其他概念相关联的定义扩展链接。在分类标准中主要的作用是描述元素之间的维度关系。</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15</w:t>
      </w:r>
      <w:r>
        <w:rPr>
          <w:rFonts w:ascii="Times New Roman" w:eastAsia="仿宋_GB2312" w:hAnsi="Times New Roman" w:hint="eastAsia"/>
          <w:b/>
          <w:sz w:val="28"/>
          <w:szCs w:val="28"/>
        </w:rPr>
        <w:t>．</w:t>
      </w:r>
      <w:r>
        <w:rPr>
          <w:rFonts w:ascii="Times New Roman" w:eastAsia="仿宋_GB2312" w:hAnsi="Times New Roman"/>
          <w:b/>
          <w:sz w:val="28"/>
          <w:szCs w:val="28"/>
        </w:rPr>
        <w:t>计算链接库</w:t>
      </w:r>
      <w:r>
        <w:rPr>
          <w:rFonts w:ascii="Times New Roman" w:eastAsia="仿宋_GB2312" w:hAnsi="Times New Roman" w:hint="eastAsia"/>
          <w:b/>
          <w:sz w:val="28"/>
          <w:szCs w:val="28"/>
        </w:rPr>
        <w:t>（</w:t>
      </w:r>
      <w:r>
        <w:rPr>
          <w:rFonts w:ascii="Times New Roman" w:eastAsia="仿宋_GB2312" w:hAnsi="Times New Roman" w:hint="eastAsia"/>
          <w:b/>
          <w:sz w:val="28"/>
          <w:szCs w:val="28"/>
        </w:rPr>
        <w:t>C</w:t>
      </w:r>
      <w:r>
        <w:rPr>
          <w:rFonts w:ascii="Times New Roman" w:eastAsia="仿宋_GB2312" w:hAnsi="Times New Roman"/>
          <w:b/>
          <w:sz w:val="28"/>
          <w:szCs w:val="28"/>
        </w:rPr>
        <w:t xml:space="preserve">alculation </w:t>
      </w:r>
      <w:r>
        <w:rPr>
          <w:rFonts w:ascii="Times New Roman" w:eastAsia="仿宋_GB2312" w:hAnsi="Times New Roman" w:hint="eastAsia"/>
          <w:b/>
          <w:sz w:val="28"/>
          <w:szCs w:val="28"/>
        </w:rPr>
        <w:t>L</w:t>
      </w:r>
      <w:r>
        <w:rPr>
          <w:rFonts w:ascii="Times New Roman" w:eastAsia="仿宋_GB2312" w:hAnsi="Times New Roman"/>
          <w:b/>
          <w:sz w:val="28"/>
          <w:szCs w:val="28"/>
        </w:rPr>
        <w:t>inkbase</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计算链接库用于组织分类标准元素之间的计算关系。</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16</w:t>
      </w:r>
      <w:r>
        <w:rPr>
          <w:rFonts w:ascii="Times New Roman" w:eastAsia="仿宋_GB2312" w:hAnsi="Times New Roman" w:hint="eastAsia"/>
          <w:b/>
          <w:sz w:val="28"/>
          <w:szCs w:val="28"/>
        </w:rPr>
        <w:t>．</w:t>
      </w:r>
      <w:r>
        <w:rPr>
          <w:rFonts w:ascii="Times New Roman" w:eastAsia="仿宋_GB2312" w:hAnsi="Times New Roman"/>
          <w:b/>
          <w:sz w:val="28"/>
          <w:szCs w:val="28"/>
        </w:rPr>
        <w:t>标签链接库</w:t>
      </w:r>
      <w:r>
        <w:rPr>
          <w:rFonts w:ascii="Times New Roman" w:eastAsia="仿宋_GB2312" w:hAnsi="Times New Roman" w:hint="eastAsia"/>
          <w:b/>
          <w:sz w:val="28"/>
          <w:szCs w:val="28"/>
        </w:rPr>
        <w:t>（</w:t>
      </w:r>
      <w:r>
        <w:rPr>
          <w:rFonts w:ascii="Times New Roman" w:eastAsia="仿宋_GB2312" w:hAnsi="Times New Roman" w:hint="eastAsia"/>
          <w:b/>
          <w:sz w:val="28"/>
          <w:szCs w:val="28"/>
        </w:rPr>
        <w:t>L</w:t>
      </w:r>
      <w:r>
        <w:rPr>
          <w:rFonts w:ascii="Times New Roman" w:eastAsia="仿宋_GB2312" w:hAnsi="Times New Roman"/>
          <w:b/>
          <w:sz w:val="28"/>
          <w:szCs w:val="28"/>
        </w:rPr>
        <w:t xml:space="preserve">abel </w:t>
      </w:r>
      <w:r>
        <w:rPr>
          <w:rFonts w:ascii="Times New Roman" w:eastAsia="仿宋_GB2312" w:hAnsi="Times New Roman" w:hint="eastAsia"/>
          <w:b/>
          <w:sz w:val="28"/>
          <w:szCs w:val="28"/>
        </w:rPr>
        <w:t>L</w:t>
      </w:r>
      <w:r>
        <w:rPr>
          <w:rFonts w:ascii="Times New Roman" w:eastAsia="仿宋_GB2312" w:hAnsi="Times New Roman"/>
          <w:b/>
          <w:sz w:val="28"/>
          <w:szCs w:val="28"/>
        </w:rPr>
        <w:t>inkbase</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标签链接库用于给每个概念提供一个或多个可理解的名称。</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17</w:t>
      </w:r>
      <w:r>
        <w:rPr>
          <w:rFonts w:ascii="Times New Roman" w:eastAsia="仿宋_GB2312" w:hAnsi="Times New Roman" w:hint="eastAsia"/>
          <w:b/>
          <w:sz w:val="28"/>
          <w:szCs w:val="28"/>
        </w:rPr>
        <w:t>．</w:t>
      </w:r>
      <w:r>
        <w:rPr>
          <w:rFonts w:ascii="Times New Roman" w:eastAsia="仿宋_GB2312" w:hAnsi="Times New Roman"/>
          <w:b/>
          <w:sz w:val="28"/>
          <w:szCs w:val="28"/>
        </w:rPr>
        <w:t>XBRL</w:t>
      </w:r>
      <w:r>
        <w:rPr>
          <w:rFonts w:ascii="Times New Roman" w:eastAsia="仿宋_GB2312" w:hAnsi="Times New Roman"/>
          <w:b/>
          <w:sz w:val="28"/>
          <w:szCs w:val="28"/>
        </w:rPr>
        <w:t>实例</w:t>
      </w:r>
      <w:r>
        <w:rPr>
          <w:rFonts w:ascii="Times New Roman" w:eastAsia="仿宋_GB2312" w:hAnsi="Times New Roman" w:hint="eastAsia"/>
          <w:b/>
          <w:sz w:val="28"/>
          <w:szCs w:val="28"/>
        </w:rPr>
        <w:t>文档（</w:t>
      </w:r>
      <w:r>
        <w:rPr>
          <w:rFonts w:ascii="Times New Roman" w:eastAsia="仿宋_GB2312" w:hAnsi="Times New Roman"/>
          <w:b/>
          <w:sz w:val="28"/>
          <w:szCs w:val="28"/>
        </w:rPr>
        <w:t xml:space="preserve">XBRL </w:t>
      </w:r>
      <w:r>
        <w:rPr>
          <w:rFonts w:ascii="Times New Roman" w:eastAsia="仿宋_GB2312" w:hAnsi="Times New Roman" w:hint="eastAsia"/>
          <w:b/>
          <w:sz w:val="28"/>
          <w:szCs w:val="28"/>
        </w:rPr>
        <w:t>I</w:t>
      </w:r>
      <w:r>
        <w:rPr>
          <w:rFonts w:ascii="Times New Roman" w:eastAsia="仿宋_GB2312" w:hAnsi="Times New Roman"/>
          <w:b/>
          <w:sz w:val="28"/>
          <w:szCs w:val="28"/>
        </w:rPr>
        <w:t>nstance</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w:t>
      </w:r>
      <w:r>
        <w:rPr>
          <w:rFonts w:ascii="Times New Roman" w:eastAsia="仿宋_GB2312" w:hAnsi="Times New Roman"/>
          <w:sz w:val="28"/>
          <w:szCs w:val="28"/>
        </w:rPr>
        <w:t>xbrl</w:t>
      </w:r>
      <w:r>
        <w:rPr>
          <w:rFonts w:ascii="Times New Roman" w:eastAsia="仿宋_GB2312" w:hAnsi="Times New Roman"/>
          <w:sz w:val="28"/>
          <w:szCs w:val="28"/>
        </w:rPr>
        <w:t>为根元素的</w:t>
      </w:r>
      <w:r>
        <w:rPr>
          <w:rFonts w:ascii="Times New Roman" w:eastAsia="仿宋_GB2312" w:hAnsi="Times New Roman"/>
          <w:sz w:val="28"/>
          <w:szCs w:val="28"/>
        </w:rPr>
        <w:t>XML</w:t>
      </w:r>
      <w:r>
        <w:rPr>
          <w:rFonts w:ascii="Times New Roman" w:eastAsia="仿宋_GB2312" w:hAnsi="Times New Roman"/>
          <w:sz w:val="28"/>
          <w:szCs w:val="28"/>
        </w:rPr>
        <w:t>片段。</w:t>
      </w:r>
      <w:r>
        <w:rPr>
          <w:rFonts w:ascii="Times New Roman" w:eastAsia="仿宋_GB2312" w:hAnsi="Times New Roman"/>
          <w:sz w:val="28"/>
          <w:szCs w:val="28"/>
        </w:rPr>
        <w:t>XBRL</w:t>
      </w:r>
      <w:r>
        <w:rPr>
          <w:rFonts w:ascii="Times New Roman" w:eastAsia="仿宋_GB2312" w:hAnsi="Times New Roman"/>
          <w:sz w:val="28"/>
          <w:szCs w:val="28"/>
        </w:rPr>
        <w:t>实例</w:t>
      </w:r>
      <w:r>
        <w:rPr>
          <w:rFonts w:ascii="Times New Roman" w:eastAsia="仿宋_GB2312" w:hAnsi="Times New Roman" w:hint="eastAsia"/>
          <w:sz w:val="28"/>
          <w:szCs w:val="28"/>
        </w:rPr>
        <w:t>文档中</w:t>
      </w:r>
      <w:r>
        <w:rPr>
          <w:rFonts w:ascii="Times New Roman" w:eastAsia="仿宋_GB2312" w:hAnsi="Times New Roman"/>
          <w:sz w:val="28"/>
          <w:szCs w:val="28"/>
        </w:rPr>
        <w:t>包含报送报告事实</w:t>
      </w:r>
      <w:r>
        <w:rPr>
          <w:rFonts w:ascii="Times New Roman" w:eastAsia="仿宋_GB2312" w:hAnsi="Times New Roman" w:hint="eastAsia"/>
          <w:sz w:val="28"/>
          <w:szCs w:val="28"/>
        </w:rPr>
        <w:t>值。</w:t>
      </w:r>
      <w:r>
        <w:rPr>
          <w:rFonts w:ascii="Times New Roman" w:eastAsia="仿宋_GB2312" w:hAnsi="Times New Roman"/>
          <w:sz w:val="28"/>
          <w:szCs w:val="28"/>
        </w:rPr>
        <w:t>其中每个事实</w:t>
      </w:r>
      <w:r>
        <w:rPr>
          <w:rFonts w:ascii="Times New Roman" w:eastAsia="仿宋_GB2312" w:hAnsi="Times New Roman" w:hint="eastAsia"/>
          <w:sz w:val="28"/>
          <w:szCs w:val="28"/>
        </w:rPr>
        <w:t>值</w:t>
      </w:r>
      <w:r>
        <w:rPr>
          <w:rFonts w:ascii="Times New Roman" w:eastAsia="仿宋_GB2312" w:hAnsi="Times New Roman"/>
          <w:sz w:val="28"/>
          <w:szCs w:val="28"/>
        </w:rPr>
        <w:t>都与</w:t>
      </w:r>
      <w:r>
        <w:rPr>
          <w:rFonts w:ascii="Times New Roman" w:eastAsia="仿宋_GB2312" w:hAnsi="Times New Roman" w:hint="eastAsia"/>
          <w:sz w:val="28"/>
          <w:szCs w:val="28"/>
        </w:rPr>
        <w:t>可发现分类集（</w:t>
      </w:r>
      <w:r>
        <w:rPr>
          <w:rFonts w:ascii="Times New Roman" w:eastAsia="仿宋_GB2312" w:hAnsi="Times New Roman" w:hint="eastAsia"/>
          <w:sz w:val="28"/>
          <w:szCs w:val="28"/>
        </w:rPr>
        <w:t>DTS</w:t>
      </w:r>
      <w:r>
        <w:rPr>
          <w:rFonts w:ascii="Times New Roman" w:eastAsia="仿宋_GB2312" w:hAnsi="Times New Roman" w:hint="eastAsia"/>
          <w:sz w:val="28"/>
          <w:szCs w:val="28"/>
        </w:rPr>
        <w:t>）</w:t>
      </w:r>
      <w:r>
        <w:rPr>
          <w:rFonts w:ascii="Times New Roman" w:eastAsia="仿宋_GB2312" w:hAnsi="Times New Roman"/>
          <w:sz w:val="28"/>
          <w:szCs w:val="28"/>
        </w:rPr>
        <w:t>中已定义的概念相对应，也包含上下文和单位等额外信息来解释实例中的事实。</w:t>
      </w:r>
      <w:r>
        <w:rPr>
          <w:rFonts w:ascii="Times New Roman" w:eastAsia="仿宋_GB2312" w:hAnsi="Times New Roman"/>
          <w:sz w:val="28"/>
          <w:szCs w:val="28"/>
        </w:rPr>
        <w:t>XBRL</w:t>
      </w:r>
      <w:r>
        <w:rPr>
          <w:rFonts w:ascii="Times New Roman" w:eastAsia="仿宋_GB2312" w:hAnsi="Times New Roman"/>
          <w:sz w:val="28"/>
          <w:szCs w:val="28"/>
        </w:rPr>
        <w:t>实例的根元素是</w:t>
      </w:r>
      <w:r>
        <w:rPr>
          <w:rFonts w:ascii="Times New Roman" w:eastAsia="仿宋_GB2312" w:hAnsi="Times New Roman"/>
          <w:sz w:val="28"/>
          <w:szCs w:val="28"/>
        </w:rPr>
        <w:t>“xbrl”</w:t>
      </w:r>
      <w:r>
        <w:rPr>
          <w:rFonts w:ascii="Times New Roman" w:eastAsia="仿宋_GB2312" w:hAnsi="Times New Roman"/>
          <w:sz w:val="28"/>
          <w:szCs w:val="28"/>
        </w:rPr>
        <w:t>元素。</w:t>
      </w:r>
      <w:r>
        <w:rPr>
          <w:rFonts w:ascii="Times New Roman" w:eastAsia="仿宋_GB2312" w:hAnsi="Times New Roman" w:hint="eastAsia"/>
          <w:sz w:val="28"/>
          <w:szCs w:val="28"/>
        </w:rPr>
        <w:t>根据分类标准生成的</w:t>
      </w:r>
      <w:r>
        <w:rPr>
          <w:rFonts w:ascii="Times New Roman" w:eastAsia="仿宋_GB2312" w:hAnsi="Times New Roman" w:hint="eastAsia"/>
          <w:sz w:val="28"/>
          <w:szCs w:val="28"/>
        </w:rPr>
        <w:t>XBRL</w:t>
      </w:r>
      <w:r>
        <w:rPr>
          <w:rFonts w:ascii="Times New Roman" w:eastAsia="仿宋_GB2312" w:hAnsi="Times New Roman" w:hint="eastAsia"/>
          <w:sz w:val="28"/>
          <w:szCs w:val="28"/>
        </w:rPr>
        <w:t>实例文档即</w:t>
      </w:r>
      <w:r>
        <w:rPr>
          <w:rFonts w:ascii="Times New Roman" w:eastAsia="仿宋_GB2312" w:hAnsi="Times New Roman" w:hint="eastAsia"/>
          <w:sz w:val="28"/>
          <w:szCs w:val="28"/>
        </w:rPr>
        <w:t>XBRL</w:t>
      </w:r>
      <w:r>
        <w:rPr>
          <w:rFonts w:ascii="Times New Roman" w:eastAsia="仿宋_GB2312" w:hAnsi="Times New Roman" w:hint="eastAsia"/>
          <w:sz w:val="28"/>
          <w:szCs w:val="28"/>
        </w:rPr>
        <w:t>格式的报送报告。</w:t>
      </w:r>
      <w:r>
        <w:rPr>
          <w:rFonts w:ascii="Times New Roman" w:eastAsia="仿宋_GB2312" w:hAnsi="Times New Roman"/>
          <w:sz w:val="28"/>
          <w:szCs w:val="28"/>
        </w:rPr>
        <w:t>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18</w:t>
      </w:r>
      <w:r>
        <w:rPr>
          <w:rFonts w:ascii="Times New Roman" w:eastAsia="仿宋_GB2312" w:hAnsi="Times New Roman" w:hint="eastAsia"/>
          <w:b/>
          <w:sz w:val="28"/>
          <w:szCs w:val="28"/>
        </w:rPr>
        <w:t>．</w:t>
      </w:r>
      <w:r>
        <w:rPr>
          <w:rFonts w:ascii="Times New Roman" w:eastAsia="仿宋_GB2312" w:hAnsi="Times New Roman"/>
          <w:b/>
          <w:sz w:val="28"/>
          <w:szCs w:val="28"/>
        </w:rPr>
        <w:t>上下文</w:t>
      </w:r>
      <w:r>
        <w:rPr>
          <w:rFonts w:ascii="Times New Roman" w:eastAsia="仿宋_GB2312" w:hAnsi="Times New Roman" w:hint="eastAsia"/>
          <w:b/>
          <w:sz w:val="28"/>
          <w:szCs w:val="28"/>
        </w:rPr>
        <w:t>（</w:t>
      </w:r>
      <w:r>
        <w:rPr>
          <w:rFonts w:ascii="Times New Roman" w:eastAsia="仿宋_GB2312" w:hAnsi="Times New Roman" w:hint="eastAsia"/>
          <w:b/>
          <w:sz w:val="28"/>
          <w:szCs w:val="28"/>
        </w:rPr>
        <w:t>C</w:t>
      </w:r>
      <w:r>
        <w:rPr>
          <w:rFonts w:ascii="Times New Roman" w:eastAsia="仿宋_GB2312" w:hAnsi="Times New Roman"/>
          <w:b/>
          <w:sz w:val="28"/>
          <w:szCs w:val="28"/>
        </w:rPr>
        <w:t>ontext</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XBRL</w:t>
      </w:r>
      <w:r>
        <w:rPr>
          <w:rFonts w:ascii="Times New Roman" w:eastAsia="仿宋_GB2312" w:hAnsi="Times New Roman"/>
          <w:sz w:val="28"/>
          <w:szCs w:val="28"/>
        </w:rPr>
        <w:t>实例</w:t>
      </w:r>
      <w:r>
        <w:rPr>
          <w:rFonts w:ascii="Times New Roman" w:eastAsia="仿宋_GB2312" w:hAnsi="Times New Roman" w:hint="eastAsia"/>
          <w:sz w:val="28"/>
          <w:szCs w:val="28"/>
        </w:rPr>
        <w:t>文档</w:t>
      </w:r>
      <w:r>
        <w:rPr>
          <w:rFonts w:ascii="Times New Roman" w:eastAsia="仿宋_GB2312" w:hAnsi="Times New Roman"/>
          <w:sz w:val="28"/>
          <w:szCs w:val="28"/>
        </w:rPr>
        <w:t>中根元素的子元素，用来说明实体、时期和场景。</w:t>
      </w:r>
      <w:r>
        <w:rPr>
          <w:rFonts w:ascii="Times New Roman" w:eastAsia="仿宋_GB2312" w:hAnsi="Times New Roman" w:hint="eastAsia"/>
          <w:sz w:val="28"/>
          <w:szCs w:val="28"/>
        </w:rPr>
        <w:t>上下文有助于准确地理解数据项的值。参见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19</w:t>
      </w:r>
      <w:r>
        <w:rPr>
          <w:rFonts w:ascii="Times New Roman" w:eastAsia="仿宋_GB2312" w:hAnsi="Times New Roman" w:hint="eastAsia"/>
          <w:b/>
          <w:sz w:val="28"/>
          <w:szCs w:val="28"/>
        </w:rPr>
        <w:t>．</w:t>
      </w:r>
      <w:r>
        <w:rPr>
          <w:rFonts w:ascii="Times New Roman" w:eastAsia="仿宋_GB2312" w:hAnsi="Times New Roman"/>
          <w:b/>
          <w:sz w:val="28"/>
          <w:szCs w:val="28"/>
        </w:rPr>
        <w:t>数据项</w:t>
      </w:r>
      <w:r>
        <w:rPr>
          <w:rFonts w:ascii="Times New Roman" w:eastAsia="仿宋_GB2312" w:hAnsi="Times New Roman" w:hint="eastAsia"/>
          <w:b/>
          <w:sz w:val="28"/>
          <w:szCs w:val="28"/>
        </w:rPr>
        <w:t>（</w:t>
      </w:r>
      <w:r>
        <w:rPr>
          <w:rFonts w:ascii="Times New Roman" w:eastAsia="仿宋_GB2312" w:hAnsi="Times New Roman" w:hint="eastAsia"/>
          <w:b/>
          <w:sz w:val="28"/>
          <w:szCs w:val="28"/>
        </w:rPr>
        <w:t>I</w:t>
      </w:r>
      <w:r>
        <w:rPr>
          <w:rFonts w:ascii="Times New Roman" w:eastAsia="仿宋_GB2312" w:hAnsi="Times New Roman"/>
          <w:b/>
          <w:sz w:val="28"/>
          <w:szCs w:val="28"/>
        </w:rPr>
        <w:t>tem</w:t>
      </w:r>
      <w:r>
        <w:rPr>
          <w:rFonts w:ascii="Times New Roman" w:eastAsia="仿宋_GB2312" w:hAnsi="Times New Roman" w:hint="eastAsia"/>
          <w:b/>
          <w:sz w:val="28"/>
          <w:szCs w:val="28"/>
        </w:rPr>
        <w:t>）</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XBRL</w:t>
      </w:r>
      <w:r>
        <w:rPr>
          <w:rFonts w:ascii="Times New Roman" w:eastAsia="仿宋_GB2312" w:hAnsi="Times New Roman"/>
          <w:sz w:val="28"/>
          <w:szCs w:val="28"/>
        </w:rPr>
        <w:t>数据项替换组中的元素，包含简单事实的值、帮助理解该事实所需的上下文以及数值型数据项的单位。</w:t>
      </w:r>
      <w:r>
        <w:rPr>
          <w:rFonts w:ascii="Times New Roman" w:eastAsia="仿宋_GB2312" w:hAnsi="Times New Roman" w:hint="eastAsia"/>
          <w:sz w:val="28"/>
          <w:szCs w:val="28"/>
        </w:rPr>
        <w:t>数据项包括数值型数据项和非数值型数据项两类。对于数值型数据项，需要指出精度及度量单位。参见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r>
        <w:rPr>
          <w:rFonts w:ascii="Times New Roman" w:eastAsia="仿宋_GB2312" w:hAnsi="Times New Roman"/>
          <w:sz w:val="28"/>
          <w:szCs w:val="28"/>
        </w:rPr>
        <w:t>。</w:t>
      </w:r>
    </w:p>
    <w:p w:rsidR="00BA6D37" w:rsidRDefault="00314976">
      <w:pPr>
        <w:spacing w:after="0" w:line="56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2</w:t>
      </w:r>
      <w:r>
        <w:rPr>
          <w:rFonts w:ascii="Times New Roman" w:eastAsia="仿宋_GB2312" w:hAnsi="Times New Roman" w:hint="eastAsia"/>
          <w:b/>
          <w:sz w:val="28"/>
          <w:szCs w:val="28"/>
        </w:rPr>
        <w:t>0</w:t>
      </w:r>
      <w:r>
        <w:rPr>
          <w:rFonts w:ascii="Times New Roman" w:eastAsia="仿宋_GB2312" w:hAnsi="Times New Roman" w:hint="eastAsia"/>
          <w:b/>
          <w:sz w:val="28"/>
          <w:szCs w:val="28"/>
        </w:rPr>
        <w:t>．</w:t>
      </w:r>
      <w:r>
        <w:rPr>
          <w:rFonts w:ascii="Times New Roman" w:eastAsia="仿宋_GB2312" w:hAnsi="Times New Roman"/>
          <w:b/>
          <w:sz w:val="28"/>
          <w:szCs w:val="28"/>
        </w:rPr>
        <w:t>维度</w:t>
      </w:r>
      <w:r>
        <w:rPr>
          <w:rFonts w:ascii="Times New Roman" w:eastAsia="仿宋_GB2312" w:hAnsi="Times New Roman" w:hint="eastAsia"/>
          <w:b/>
          <w:sz w:val="28"/>
          <w:szCs w:val="28"/>
        </w:rPr>
        <w:t>（</w:t>
      </w:r>
      <w:r>
        <w:rPr>
          <w:rFonts w:ascii="Times New Roman" w:eastAsia="仿宋_GB2312" w:hAnsi="Times New Roman" w:hint="eastAsia"/>
          <w:b/>
          <w:sz w:val="28"/>
          <w:szCs w:val="28"/>
        </w:rPr>
        <w:t>D</w:t>
      </w:r>
      <w:r>
        <w:rPr>
          <w:rFonts w:ascii="Times New Roman" w:eastAsia="仿宋_GB2312" w:hAnsi="Times New Roman"/>
          <w:b/>
          <w:sz w:val="28"/>
          <w:szCs w:val="28"/>
        </w:rPr>
        <w:t>imension</w:t>
      </w:r>
      <w:r>
        <w:rPr>
          <w:rFonts w:ascii="Times New Roman" w:eastAsia="仿宋_GB2312" w:hAnsi="Times New Roman" w:hint="eastAsia"/>
          <w:b/>
          <w:sz w:val="28"/>
          <w:szCs w:val="28"/>
        </w:rPr>
        <w:t>）</w:t>
      </w:r>
      <w:r>
        <w:rPr>
          <w:rFonts w:ascii="Times New Roman" w:eastAsia="仿宋_GB2312" w:hAnsi="Times New Roman"/>
          <w:b/>
          <w:sz w:val="28"/>
          <w:szCs w:val="28"/>
        </w:rPr>
        <w:t xml:space="preserve"> </w:t>
      </w:r>
    </w:p>
    <w:p w:rsidR="00BA6D37" w:rsidRDefault="00314976">
      <w:pPr>
        <w:spacing w:after="0" w:line="56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xbrldt:dimensionItem</w:t>
      </w:r>
      <w:r>
        <w:rPr>
          <w:rFonts w:ascii="Times New Roman" w:eastAsia="仿宋_GB2312" w:hAnsi="Times New Roman"/>
          <w:sz w:val="28"/>
          <w:szCs w:val="28"/>
        </w:rPr>
        <w:t>替换组中的抽象元素，能表征事实的各个不同的方面。一个维度只有一个有效域。</w:t>
      </w:r>
      <w:r>
        <w:rPr>
          <w:rFonts w:ascii="Times New Roman" w:eastAsia="仿宋_GB2312" w:hAnsi="Times New Roman" w:hint="eastAsia"/>
          <w:sz w:val="28"/>
          <w:szCs w:val="28"/>
        </w:rPr>
        <w:t>分类标准使用维度表示多维表格。</w:t>
      </w:r>
      <w:r>
        <w:rPr>
          <w:rFonts w:ascii="Times New Roman" w:eastAsia="仿宋_GB2312" w:hAnsi="Times New Roman"/>
          <w:sz w:val="28"/>
          <w:szCs w:val="28"/>
        </w:rPr>
        <w:t>参见</w:t>
      </w:r>
      <w:r>
        <w:rPr>
          <w:rFonts w:ascii="Times New Roman" w:eastAsia="仿宋_GB2312" w:hAnsi="Times New Roman"/>
          <w:sz w:val="28"/>
          <w:szCs w:val="28"/>
        </w:rPr>
        <w:t>GB/T</w:t>
      </w:r>
      <w:r>
        <w:rPr>
          <w:rFonts w:ascii="Times New Roman" w:eastAsia="仿宋_GB2312" w:hAnsi="Times New Roman" w:hint="eastAsia"/>
          <w:sz w:val="28"/>
          <w:szCs w:val="28"/>
        </w:rPr>
        <w:t>25500-2010</w:t>
      </w:r>
      <w:r>
        <w:rPr>
          <w:rFonts w:ascii="Times New Roman" w:eastAsia="仿宋_GB2312" w:hAnsi="Times New Roman"/>
          <w:sz w:val="28"/>
          <w:szCs w:val="28"/>
        </w:rPr>
        <w:t>《可扩展商业报告语言（</w:t>
      </w:r>
      <w:r>
        <w:rPr>
          <w:rFonts w:ascii="Times New Roman" w:eastAsia="仿宋_GB2312" w:hAnsi="Times New Roman"/>
          <w:sz w:val="28"/>
          <w:szCs w:val="28"/>
        </w:rPr>
        <w:t>XBRL</w:t>
      </w:r>
      <w:r>
        <w:rPr>
          <w:rFonts w:ascii="Times New Roman" w:eastAsia="仿宋_GB2312" w:hAnsi="Times New Roman"/>
          <w:sz w:val="28"/>
          <w:szCs w:val="28"/>
        </w:rPr>
        <w:t>）技术规范》</w:t>
      </w:r>
      <w:r>
        <w:rPr>
          <w:rFonts w:ascii="Times New Roman" w:eastAsia="仿宋_GB2312" w:hAnsi="Times New Roman" w:hint="eastAsia"/>
          <w:sz w:val="28"/>
          <w:szCs w:val="28"/>
        </w:rPr>
        <w:t>系列国家标准。</w:t>
      </w:r>
    </w:p>
    <w:sectPr w:rsidR="00BA6D37">
      <w:footerReference w:type="default" r:id="rId15"/>
      <w:pgSz w:w="11907" w:h="16839"/>
      <w:pgMar w:top="1440" w:right="1080" w:bottom="1440" w:left="108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8BC" w:rsidRDefault="00B708BC">
      <w:pPr>
        <w:spacing w:line="240" w:lineRule="auto"/>
      </w:pPr>
      <w:r>
        <w:separator/>
      </w:r>
    </w:p>
  </w:endnote>
  <w:endnote w:type="continuationSeparator" w:id="0">
    <w:p w:rsidR="00B708BC" w:rsidRDefault="00B708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839906"/>
      <w:docPartObj>
        <w:docPartGallery w:val="AutoText"/>
      </w:docPartObj>
    </w:sdtPr>
    <w:sdtEndPr>
      <w:rPr>
        <w:rFonts w:ascii="Times New Roman" w:hAnsi="Times New Roman" w:cs="Times New Roman"/>
      </w:rPr>
    </w:sdtEndPr>
    <w:sdtContent>
      <w:p w:rsidR="00BA6D37" w:rsidRDefault="00314976">
        <w:pPr>
          <w:pStyle w:val="a6"/>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424473" w:rsidRPr="00424473">
          <w:rPr>
            <w:rFonts w:ascii="Times New Roman" w:hAnsi="Times New Roman" w:cs="Times New Roman"/>
            <w:noProof/>
            <w:lang w:val="zh-CN"/>
          </w:rPr>
          <w:t>17</w:t>
        </w:r>
        <w:r>
          <w:rPr>
            <w:rFonts w:ascii="Times New Roman" w:hAnsi="Times New Roman" w:cs="Times New Roman"/>
          </w:rPr>
          <w:fldChar w:fldCharType="end"/>
        </w:r>
      </w:p>
    </w:sdtContent>
  </w:sdt>
  <w:p w:rsidR="00BA6D37" w:rsidRDefault="00BA6D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8BC" w:rsidRDefault="00B708BC">
      <w:pPr>
        <w:spacing w:after="0"/>
      </w:pPr>
      <w:r>
        <w:separator/>
      </w:r>
    </w:p>
  </w:footnote>
  <w:footnote w:type="continuationSeparator" w:id="0">
    <w:p w:rsidR="00B708BC" w:rsidRDefault="00B708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1"/>
    <w:multiLevelType w:val="multilevel"/>
    <w:tmpl w:val="00000011"/>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15C00B53"/>
    <w:multiLevelType w:val="multilevel"/>
    <w:tmpl w:val="15C00B53"/>
    <w:lvl w:ilvl="0">
      <w:start w:val="1"/>
      <w:numFmt w:val="japaneseCounting"/>
      <w:lvlText w:val="%1、"/>
      <w:lvlJc w:val="left"/>
      <w:pPr>
        <w:ind w:left="1280" w:hanging="720"/>
      </w:pPr>
      <w:rPr>
        <w:rFonts w:hint="default"/>
        <w:lang w:val="en-US"/>
      </w:r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 w15:restartNumberingAfterBreak="0">
    <w:nsid w:val="202144AB"/>
    <w:multiLevelType w:val="multilevel"/>
    <w:tmpl w:val="202144A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20D95E7F"/>
    <w:multiLevelType w:val="multilevel"/>
    <w:tmpl w:val="20D95E7F"/>
    <w:lvl w:ilvl="0">
      <w:start w:val="1"/>
      <w:numFmt w:val="bullet"/>
      <w:lvlText w:val=""/>
      <w:lvlJc w:val="left"/>
      <w:pPr>
        <w:ind w:left="980" w:hanging="420"/>
      </w:pPr>
      <w:rPr>
        <w:rFonts w:ascii="Symbol" w:hAnsi="Symbo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 w15:restartNumberingAfterBreak="0">
    <w:nsid w:val="5463161E"/>
    <w:multiLevelType w:val="multilevel"/>
    <w:tmpl w:val="5463161E"/>
    <w:lvl w:ilvl="0">
      <w:start w:val="1"/>
      <w:numFmt w:val="japaneseCounting"/>
      <w:lvlText w:val="（%1）"/>
      <w:lvlJc w:val="left"/>
      <w:pPr>
        <w:ind w:left="1447" w:hanging="885"/>
      </w:pPr>
      <w:rPr>
        <w:rFonts w:hint="default"/>
        <w:b/>
      </w:rPr>
    </w:lvl>
    <w:lvl w:ilvl="1">
      <w:start w:val="1"/>
      <w:numFmt w:val="lowerLetter"/>
      <w:lvlText w:val="%2."/>
      <w:lvlJc w:val="left"/>
      <w:pPr>
        <w:ind w:left="1642" w:hanging="360"/>
      </w:pPr>
    </w:lvl>
    <w:lvl w:ilvl="2">
      <w:start w:val="1"/>
      <w:numFmt w:val="lowerRoman"/>
      <w:lvlText w:val="%3."/>
      <w:lvlJc w:val="right"/>
      <w:pPr>
        <w:ind w:left="2362" w:hanging="180"/>
      </w:pPr>
    </w:lvl>
    <w:lvl w:ilvl="3">
      <w:start w:val="1"/>
      <w:numFmt w:val="decimal"/>
      <w:lvlText w:val="%4."/>
      <w:lvlJc w:val="left"/>
      <w:pPr>
        <w:ind w:left="3082" w:hanging="360"/>
      </w:pPr>
    </w:lvl>
    <w:lvl w:ilvl="4">
      <w:start w:val="1"/>
      <w:numFmt w:val="lowerLetter"/>
      <w:lvlText w:val="%5."/>
      <w:lvlJc w:val="left"/>
      <w:pPr>
        <w:ind w:left="3802" w:hanging="360"/>
      </w:pPr>
    </w:lvl>
    <w:lvl w:ilvl="5">
      <w:start w:val="1"/>
      <w:numFmt w:val="lowerRoman"/>
      <w:lvlText w:val="%6."/>
      <w:lvlJc w:val="right"/>
      <w:pPr>
        <w:ind w:left="4522" w:hanging="180"/>
      </w:pPr>
    </w:lvl>
    <w:lvl w:ilvl="6">
      <w:start w:val="1"/>
      <w:numFmt w:val="decimal"/>
      <w:lvlText w:val="%7."/>
      <w:lvlJc w:val="left"/>
      <w:pPr>
        <w:ind w:left="5242" w:hanging="360"/>
      </w:pPr>
    </w:lvl>
    <w:lvl w:ilvl="7">
      <w:start w:val="1"/>
      <w:numFmt w:val="lowerLetter"/>
      <w:lvlText w:val="%8."/>
      <w:lvlJc w:val="left"/>
      <w:pPr>
        <w:ind w:left="5962" w:hanging="360"/>
      </w:pPr>
    </w:lvl>
    <w:lvl w:ilvl="8">
      <w:start w:val="1"/>
      <w:numFmt w:val="lowerRoman"/>
      <w:lvlText w:val="%9."/>
      <w:lvlJc w:val="right"/>
      <w:pPr>
        <w:ind w:left="6682" w:hanging="180"/>
      </w:pPr>
    </w:lvl>
  </w:abstractNum>
  <w:abstractNum w:abstractNumId="5" w15:restartNumberingAfterBreak="0">
    <w:nsid w:val="60EC1AEF"/>
    <w:multiLevelType w:val="multilevel"/>
    <w:tmpl w:val="60EC1AEF"/>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F37F3"/>
    <w:rsid w:val="000035EC"/>
    <w:rsid w:val="00003B83"/>
    <w:rsid w:val="00003D92"/>
    <w:rsid w:val="00003EED"/>
    <w:rsid w:val="0000462F"/>
    <w:rsid w:val="00005069"/>
    <w:rsid w:val="00006279"/>
    <w:rsid w:val="00006C59"/>
    <w:rsid w:val="00006F55"/>
    <w:rsid w:val="00007C96"/>
    <w:rsid w:val="000107DA"/>
    <w:rsid w:val="0001162D"/>
    <w:rsid w:val="000120B6"/>
    <w:rsid w:val="00012E8C"/>
    <w:rsid w:val="00014FDD"/>
    <w:rsid w:val="0001519C"/>
    <w:rsid w:val="00015346"/>
    <w:rsid w:val="00016E52"/>
    <w:rsid w:val="0001745D"/>
    <w:rsid w:val="000179C8"/>
    <w:rsid w:val="00020890"/>
    <w:rsid w:val="000217E4"/>
    <w:rsid w:val="000221FD"/>
    <w:rsid w:val="000230E7"/>
    <w:rsid w:val="00023A74"/>
    <w:rsid w:val="000252E0"/>
    <w:rsid w:val="00026308"/>
    <w:rsid w:val="0002783D"/>
    <w:rsid w:val="0003014C"/>
    <w:rsid w:val="00030822"/>
    <w:rsid w:val="00031464"/>
    <w:rsid w:val="0003150B"/>
    <w:rsid w:val="0003220F"/>
    <w:rsid w:val="00033141"/>
    <w:rsid w:val="00034AC5"/>
    <w:rsid w:val="00034DFB"/>
    <w:rsid w:val="00040F4F"/>
    <w:rsid w:val="00041AD0"/>
    <w:rsid w:val="00050535"/>
    <w:rsid w:val="00051CF7"/>
    <w:rsid w:val="0005226C"/>
    <w:rsid w:val="00054AED"/>
    <w:rsid w:val="00057C2B"/>
    <w:rsid w:val="00057C79"/>
    <w:rsid w:val="00060145"/>
    <w:rsid w:val="00060A9A"/>
    <w:rsid w:val="00060BEE"/>
    <w:rsid w:val="00061B97"/>
    <w:rsid w:val="00061BCE"/>
    <w:rsid w:val="00061DE3"/>
    <w:rsid w:val="00061E74"/>
    <w:rsid w:val="00061FED"/>
    <w:rsid w:val="000620DA"/>
    <w:rsid w:val="000632EF"/>
    <w:rsid w:val="00065CAF"/>
    <w:rsid w:val="00066B26"/>
    <w:rsid w:val="00066C6D"/>
    <w:rsid w:val="00070EE5"/>
    <w:rsid w:val="000722DD"/>
    <w:rsid w:val="00073C7D"/>
    <w:rsid w:val="00073EFD"/>
    <w:rsid w:val="0007408F"/>
    <w:rsid w:val="00075B7C"/>
    <w:rsid w:val="0007712F"/>
    <w:rsid w:val="00081139"/>
    <w:rsid w:val="00081BCB"/>
    <w:rsid w:val="0008342A"/>
    <w:rsid w:val="000837F4"/>
    <w:rsid w:val="0008429D"/>
    <w:rsid w:val="00084655"/>
    <w:rsid w:val="00085429"/>
    <w:rsid w:val="0008620B"/>
    <w:rsid w:val="00086D66"/>
    <w:rsid w:val="000876D8"/>
    <w:rsid w:val="00090F87"/>
    <w:rsid w:val="00091E3E"/>
    <w:rsid w:val="00092329"/>
    <w:rsid w:val="0009387B"/>
    <w:rsid w:val="00094C5E"/>
    <w:rsid w:val="000950D3"/>
    <w:rsid w:val="00095E8C"/>
    <w:rsid w:val="000972EE"/>
    <w:rsid w:val="000975B8"/>
    <w:rsid w:val="000A10B3"/>
    <w:rsid w:val="000A118D"/>
    <w:rsid w:val="000A124E"/>
    <w:rsid w:val="000A16F1"/>
    <w:rsid w:val="000A2D53"/>
    <w:rsid w:val="000A2F4F"/>
    <w:rsid w:val="000A3151"/>
    <w:rsid w:val="000A3934"/>
    <w:rsid w:val="000A3E3A"/>
    <w:rsid w:val="000A4882"/>
    <w:rsid w:val="000A50F3"/>
    <w:rsid w:val="000A63EE"/>
    <w:rsid w:val="000B033F"/>
    <w:rsid w:val="000B095F"/>
    <w:rsid w:val="000B0A2C"/>
    <w:rsid w:val="000B23A5"/>
    <w:rsid w:val="000B3AC0"/>
    <w:rsid w:val="000B3D4B"/>
    <w:rsid w:val="000B58D6"/>
    <w:rsid w:val="000B6ADC"/>
    <w:rsid w:val="000B7A89"/>
    <w:rsid w:val="000B7AC7"/>
    <w:rsid w:val="000C0C79"/>
    <w:rsid w:val="000C0E9F"/>
    <w:rsid w:val="000C139C"/>
    <w:rsid w:val="000C2C12"/>
    <w:rsid w:val="000C3705"/>
    <w:rsid w:val="000C5644"/>
    <w:rsid w:val="000C579D"/>
    <w:rsid w:val="000D0C79"/>
    <w:rsid w:val="000D131C"/>
    <w:rsid w:val="000D2A7B"/>
    <w:rsid w:val="000D2EF7"/>
    <w:rsid w:val="000D4868"/>
    <w:rsid w:val="000D4D50"/>
    <w:rsid w:val="000D7439"/>
    <w:rsid w:val="000D7B67"/>
    <w:rsid w:val="000E0402"/>
    <w:rsid w:val="000E06D2"/>
    <w:rsid w:val="000E0785"/>
    <w:rsid w:val="000E14E6"/>
    <w:rsid w:val="000E1B93"/>
    <w:rsid w:val="000E20B3"/>
    <w:rsid w:val="000E2629"/>
    <w:rsid w:val="000E2A39"/>
    <w:rsid w:val="000E3434"/>
    <w:rsid w:val="000E4C77"/>
    <w:rsid w:val="000E56C4"/>
    <w:rsid w:val="000E65E3"/>
    <w:rsid w:val="000E6B7F"/>
    <w:rsid w:val="000E7C1C"/>
    <w:rsid w:val="000F167A"/>
    <w:rsid w:val="000F29A9"/>
    <w:rsid w:val="000F3932"/>
    <w:rsid w:val="000F3DB0"/>
    <w:rsid w:val="000F3F4B"/>
    <w:rsid w:val="000F509B"/>
    <w:rsid w:val="000F60B3"/>
    <w:rsid w:val="000F6C2D"/>
    <w:rsid w:val="000F6DD3"/>
    <w:rsid w:val="00101E14"/>
    <w:rsid w:val="00105939"/>
    <w:rsid w:val="00105AEF"/>
    <w:rsid w:val="00105BED"/>
    <w:rsid w:val="00106601"/>
    <w:rsid w:val="00111452"/>
    <w:rsid w:val="00112592"/>
    <w:rsid w:val="00112914"/>
    <w:rsid w:val="00112B09"/>
    <w:rsid w:val="00112BA5"/>
    <w:rsid w:val="0011376A"/>
    <w:rsid w:val="00113960"/>
    <w:rsid w:val="00113EE9"/>
    <w:rsid w:val="00114296"/>
    <w:rsid w:val="00114302"/>
    <w:rsid w:val="00114408"/>
    <w:rsid w:val="001149A2"/>
    <w:rsid w:val="001151A2"/>
    <w:rsid w:val="00115AC3"/>
    <w:rsid w:val="00116097"/>
    <w:rsid w:val="0011682C"/>
    <w:rsid w:val="00117023"/>
    <w:rsid w:val="0011734F"/>
    <w:rsid w:val="00117A64"/>
    <w:rsid w:val="00120115"/>
    <w:rsid w:val="001210A4"/>
    <w:rsid w:val="0012113B"/>
    <w:rsid w:val="0012123E"/>
    <w:rsid w:val="001217D4"/>
    <w:rsid w:val="00122514"/>
    <w:rsid w:val="001225C0"/>
    <w:rsid w:val="001225DC"/>
    <w:rsid w:val="00123BF2"/>
    <w:rsid w:val="001255E1"/>
    <w:rsid w:val="00125FF5"/>
    <w:rsid w:val="00126648"/>
    <w:rsid w:val="00126E89"/>
    <w:rsid w:val="00127185"/>
    <w:rsid w:val="00130047"/>
    <w:rsid w:val="00130E84"/>
    <w:rsid w:val="00130F70"/>
    <w:rsid w:val="001310BC"/>
    <w:rsid w:val="00131271"/>
    <w:rsid w:val="00131459"/>
    <w:rsid w:val="00133594"/>
    <w:rsid w:val="00134346"/>
    <w:rsid w:val="00134FC2"/>
    <w:rsid w:val="00135A61"/>
    <w:rsid w:val="0013604A"/>
    <w:rsid w:val="00136BBD"/>
    <w:rsid w:val="00136F59"/>
    <w:rsid w:val="00143CF1"/>
    <w:rsid w:val="001440C0"/>
    <w:rsid w:val="00144832"/>
    <w:rsid w:val="00145B57"/>
    <w:rsid w:val="00146E6E"/>
    <w:rsid w:val="00150523"/>
    <w:rsid w:val="0015077A"/>
    <w:rsid w:val="00150D86"/>
    <w:rsid w:val="00151011"/>
    <w:rsid w:val="001530F1"/>
    <w:rsid w:val="0015332E"/>
    <w:rsid w:val="0015438D"/>
    <w:rsid w:val="00155D28"/>
    <w:rsid w:val="00156FE4"/>
    <w:rsid w:val="0015707A"/>
    <w:rsid w:val="00157A14"/>
    <w:rsid w:val="00160E5A"/>
    <w:rsid w:val="00160FF1"/>
    <w:rsid w:val="00167105"/>
    <w:rsid w:val="00167117"/>
    <w:rsid w:val="00170E15"/>
    <w:rsid w:val="001710D3"/>
    <w:rsid w:val="00171B57"/>
    <w:rsid w:val="00173000"/>
    <w:rsid w:val="00174773"/>
    <w:rsid w:val="001752B6"/>
    <w:rsid w:val="001752C9"/>
    <w:rsid w:val="00176894"/>
    <w:rsid w:val="00176C8B"/>
    <w:rsid w:val="00176EBA"/>
    <w:rsid w:val="00180D8C"/>
    <w:rsid w:val="00181D71"/>
    <w:rsid w:val="00182C45"/>
    <w:rsid w:val="00182EB3"/>
    <w:rsid w:val="00183E5F"/>
    <w:rsid w:val="0018411A"/>
    <w:rsid w:val="00184219"/>
    <w:rsid w:val="00184C23"/>
    <w:rsid w:val="00185B40"/>
    <w:rsid w:val="0018693A"/>
    <w:rsid w:val="00187559"/>
    <w:rsid w:val="001908B6"/>
    <w:rsid w:val="00192414"/>
    <w:rsid w:val="00192B0C"/>
    <w:rsid w:val="00192B51"/>
    <w:rsid w:val="00192D24"/>
    <w:rsid w:val="001936B8"/>
    <w:rsid w:val="001942E1"/>
    <w:rsid w:val="001965EB"/>
    <w:rsid w:val="00197066"/>
    <w:rsid w:val="001A0DCB"/>
    <w:rsid w:val="001A0E7D"/>
    <w:rsid w:val="001A1017"/>
    <w:rsid w:val="001A11A0"/>
    <w:rsid w:val="001A282F"/>
    <w:rsid w:val="001A3536"/>
    <w:rsid w:val="001A3ABE"/>
    <w:rsid w:val="001A3EEB"/>
    <w:rsid w:val="001A5634"/>
    <w:rsid w:val="001A571A"/>
    <w:rsid w:val="001A63FF"/>
    <w:rsid w:val="001A6B7E"/>
    <w:rsid w:val="001A7355"/>
    <w:rsid w:val="001B1E15"/>
    <w:rsid w:val="001B27C4"/>
    <w:rsid w:val="001B317A"/>
    <w:rsid w:val="001B39B8"/>
    <w:rsid w:val="001B4DD3"/>
    <w:rsid w:val="001B5520"/>
    <w:rsid w:val="001B5C1D"/>
    <w:rsid w:val="001B6E56"/>
    <w:rsid w:val="001B7FB5"/>
    <w:rsid w:val="001C0923"/>
    <w:rsid w:val="001C0C0E"/>
    <w:rsid w:val="001C0F30"/>
    <w:rsid w:val="001C139B"/>
    <w:rsid w:val="001C16A3"/>
    <w:rsid w:val="001C2169"/>
    <w:rsid w:val="001C25C5"/>
    <w:rsid w:val="001C2824"/>
    <w:rsid w:val="001C2A60"/>
    <w:rsid w:val="001C3F5F"/>
    <w:rsid w:val="001C44DC"/>
    <w:rsid w:val="001C4764"/>
    <w:rsid w:val="001C5AF6"/>
    <w:rsid w:val="001C642E"/>
    <w:rsid w:val="001C672A"/>
    <w:rsid w:val="001C7BF4"/>
    <w:rsid w:val="001D2708"/>
    <w:rsid w:val="001D2A42"/>
    <w:rsid w:val="001D41AD"/>
    <w:rsid w:val="001D4CB9"/>
    <w:rsid w:val="001D5BF2"/>
    <w:rsid w:val="001D65E4"/>
    <w:rsid w:val="001D6D94"/>
    <w:rsid w:val="001E07F4"/>
    <w:rsid w:val="001E0D02"/>
    <w:rsid w:val="001E1367"/>
    <w:rsid w:val="001E206A"/>
    <w:rsid w:val="001E269B"/>
    <w:rsid w:val="001E2AA2"/>
    <w:rsid w:val="001E3337"/>
    <w:rsid w:val="001E366D"/>
    <w:rsid w:val="001E49C8"/>
    <w:rsid w:val="001E5B75"/>
    <w:rsid w:val="001E6027"/>
    <w:rsid w:val="001E665E"/>
    <w:rsid w:val="001E6A71"/>
    <w:rsid w:val="001E78E9"/>
    <w:rsid w:val="001E7965"/>
    <w:rsid w:val="001F0A92"/>
    <w:rsid w:val="001F0CE3"/>
    <w:rsid w:val="001F10EA"/>
    <w:rsid w:val="001F11A5"/>
    <w:rsid w:val="001F1520"/>
    <w:rsid w:val="001F1895"/>
    <w:rsid w:val="001F1AAE"/>
    <w:rsid w:val="001F1F51"/>
    <w:rsid w:val="001F518A"/>
    <w:rsid w:val="001F5C16"/>
    <w:rsid w:val="001F5E1E"/>
    <w:rsid w:val="00201021"/>
    <w:rsid w:val="00202323"/>
    <w:rsid w:val="00203620"/>
    <w:rsid w:val="00203BD6"/>
    <w:rsid w:val="00204232"/>
    <w:rsid w:val="00204F4C"/>
    <w:rsid w:val="00205043"/>
    <w:rsid w:val="0020520E"/>
    <w:rsid w:val="00205CF1"/>
    <w:rsid w:val="0020678B"/>
    <w:rsid w:val="00206C30"/>
    <w:rsid w:val="00207D16"/>
    <w:rsid w:val="00207ED8"/>
    <w:rsid w:val="0021047A"/>
    <w:rsid w:val="00210D96"/>
    <w:rsid w:val="00211012"/>
    <w:rsid w:val="00213906"/>
    <w:rsid w:val="00214BF1"/>
    <w:rsid w:val="00214E15"/>
    <w:rsid w:val="00215375"/>
    <w:rsid w:val="00216568"/>
    <w:rsid w:val="00217896"/>
    <w:rsid w:val="00217987"/>
    <w:rsid w:val="00220074"/>
    <w:rsid w:val="002208BD"/>
    <w:rsid w:val="00223EB4"/>
    <w:rsid w:val="00224309"/>
    <w:rsid w:val="00226A06"/>
    <w:rsid w:val="00226BD9"/>
    <w:rsid w:val="00227063"/>
    <w:rsid w:val="00227933"/>
    <w:rsid w:val="00227B5F"/>
    <w:rsid w:val="002305F1"/>
    <w:rsid w:val="002306E3"/>
    <w:rsid w:val="00231820"/>
    <w:rsid w:val="00231B97"/>
    <w:rsid w:val="00232A8E"/>
    <w:rsid w:val="002336C3"/>
    <w:rsid w:val="00234ECB"/>
    <w:rsid w:val="00235342"/>
    <w:rsid w:val="00235576"/>
    <w:rsid w:val="0023608B"/>
    <w:rsid w:val="00240336"/>
    <w:rsid w:val="00242734"/>
    <w:rsid w:val="0024280F"/>
    <w:rsid w:val="00242971"/>
    <w:rsid w:val="00243A35"/>
    <w:rsid w:val="002441DC"/>
    <w:rsid w:val="00246711"/>
    <w:rsid w:val="00246EB8"/>
    <w:rsid w:val="00247962"/>
    <w:rsid w:val="00247B14"/>
    <w:rsid w:val="00247E81"/>
    <w:rsid w:val="00247EED"/>
    <w:rsid w:val="002504FB"/>
    <w:rsid w:val="002512D4"/>
    <w:rsid w:val="00251FFA"/>
    <w:rsid w:val="0025261D"/>
    <w:rsid w:val="00252B48"/>
    <w:rsid w:val="002535F8"/>
    <w:rsid w:val="002539ED"/>
    <w:rsid w:val="002550DA"/>
    <w:rsid w:val="00260349"/>
    <w:rsid w:val="00261CEE"/>
    <w:rsid w:val="00261D22"/>
    <w:rsid w:val="00261DD2"/>
    <w:rsid w:val="002622F0"/>
    <w:rsid w:val="002624C1"/>
    <w:rsid w:val="00262922"/>
    <w:rsid w:val="00262A10"/>
    <w:rsid w:val="00263AC3"/>
    <w:rsid w:val="002656AC"/>
    <w:rsid w:val="002656E6"/>
    <w:rsid w:val="00265A0E"/>
    <w:rsid w:val="00265AD8"/>
    <w:rsid w:val="00265FFD"/>
    <w:rsid w:val="002665AF"/>
    <w:rsid w:val="00266758"/>
    <w:rsid w:val="002668A3"/>
    <w:rsid w:val="00266EF0"/>
    <w:rsid w:val="00267351"/>
    <w:rsid w:val="00267BDE"/>
    <w:rsid w:val="00267D37"/>
    <w:rsid w:val="002718FF"/>
    <w:rsid w:val="00272407"/>
    <w:rsid w:val="0027271E"/>
    <w:rsid w:val="002735D0"/>
    <w:rsid w:val="0027411C"/>
    <w:rsid w:val="00274751"/>
    <w:rsid w:val="002750EA"/>
    <w:rsid w:val="00276C09"/>
    <w:rsid w:val="002812BF"/>
    <w:rsid w:val="00281DFE"/>
    <w:rsid w:val="00282173"/>
    <w:rsid w:val="002828C4"/>
    <w:rsid w:val="00283314"/>
    <w:rsid w:val="00283695"/>
    <w:rsid w:val="00284DA6"/>
    <w:rsid w:val="002854ED"/>
    <w:rsid w:val="00285D20"/>
    <w:rsid w:val="00286893"/>
    <w:rsid w:val="002870B0"/>
    <w:rsid w:val="00287152"/>
    <w:rsid w:val="00287274"/>
    <w:rsid w:val="0029021E"/>
    <w:rsid w:val="002902AD"/>
    <w:rsid w:val="002905A4"/>
    <w:rsid w:val="00290850"/>
    <w:rsid w:val="0029210F"/>
    <w:rsid w:val="00292AA5"/>
    <w:rsid w:val="00294AE3"/>
    <w:rsid w:val="00294FD5"/>
    <w:rsid w:val="00295FF5"/>
    <w:rsid w:val="00297CC3"/>
    <w:rsid w:val="00297D88"/>
    <w:rsid w:val="002A073A"/>
    <w:rsid w:val="002A09C4"/>
    <w:rsid w:val="002A1A69"/>
    <w:rsid w:val="002A32EC"/>
    <w:rsid w:val="002A3BE5"/>
    <w:rsid w:val="002A404C"/>
    <w:rsid w:val="002A4434"/>
    <w:rsid w:val="002A50D9"/>
    <w:rsid w:val="002A5E02"/>
    <w:rsid w:val="002A5E91"/>
    <w:rsid w:val="002A5F37"/>
    <w:rsid w:val="002B00A1"/>
    <w:rsid w:val="002B05A0"/>
    <w:rsid w:val="002B0AA1"/>
    <w:rsid w:val="002B43BC"/>
    <w:rsid w:val="002B43E0"/>
    <w:rsid w:val="002B5BAC"/>
    <w:rsid w:val="002C090F"/>
    <w:rsid w:val="002C2515"/>
    <w:rsid w:val="002C377A"/>
    <w:rsid w:val="002C38F6"/>
    <w:rsid w:val="002C3AC3"/>
    <w:rsid w:val="002C42F3"/>
    <w:rsid w:val="002C494F"/>
    <w:rsid w:val="002C5A1E"/>
    <w:rsid w:val="002C751E"/>
    <w:rsid w:val="002C7EA1"/>
    <w:rsid w:val="002D23C5"/>
    <w:rsid w:val="002D3594"/>
    <w:rsid w:val="002D41CE"/>
    <w:rsid w:val="002D430C"/>
    <w:rsid w:val="002D4B00"/>
    <w:rsid w:val="002E0F6B"/>
    <w:rsid w:val="002E134D"/>
    <w:rsid w:val="002E1FEF"/>
    <w:rsid w:val="002E2CE7"/>
    <w:rsid w:val="002E43F1"/>
    <w:rsid w:val="002E5AF4"/>
    <w:rsid w:val="002E5B07"/>
    <w:rsid w:val="002E5C48"/>
    <w:rsid w:val="002E6A16"/>
    <w:rsid w:val="002E7359"/>
    <w:rsid w:val="002F0AB8"/>
    <w:rsid w:val="002F1BFE"/>
    <w:rsid w:val="002F2826"/>
    <w:rsid w:val="002F2B3D"/>
    <w:rsid w:val="002F31E4"/>
    <w:rsid w:val="002F579E"/>
    <w:rsid w:val="002F6092"/>
    <w:rsid w:val="002F7308"/>
    <w:rsid w:val="002F76F9"/>
    <w:rsid w:val="00300A4E"/>
    <w:rsid w:val="00300BC6"/>
    <w:rsid w:val="003021E3"/>
    <w:rsid w:val="00302744"/>
    <w:rsid w:val="003028EC"/>
    <w:rsid w:val="00302D7B"/>
    <w:rsid w:val="00302F6A"/>
    <w:rsid w:val="0030369E"/>
    <w:rsid w:val="0030396D"/>
    <w:rsid w:val="00303F8A"/>
    <w:rsid w:val="003040CF"/>
    <w:rsid w:val="00304838"/>
    <w:rsid w:val="0030495E"/>
    <w:rsid w:val="00307632"/>
    <w:rsid w:val="00307768"/>
    <w:rsid w:val="00310289"/>
    <w:rsid w:val="00310F5C"/>
    <w:rsid w:val="003116E7"/>
    <w:rsid w:val="00311BFE"/>
    <w:rsid w:val="00311CE0"/>
    <w:rsid w:val="00311F4F"/>
    <w:rsid w:val="00312499"/>
    <w:rsid w:val="00312959"/>
    <w:rsid w:val="00312C36"/>
    <w:rsid w:val="00313C47"/>
    <w:rsid w:val="00314976"/>
    <w:rsid w:val="00314ACB"/>
    <w:rsid w:val="00314BD5"/>
    <w:rsid w:val="00315EE7"/>
    <w:rsid w:val="00317304"/>
    <w:rsid w:val="00317E4C"/>
    <w:rsid w:val="003209E8"/>
    <w:rsid w:val="0032195F"/>
    <w:rsid w:val="00321B37"/>
    <w:rsid w:val="00325A61"/>
    <w:rsid w:val="00326BBB"/>
    <w:rsid w:val="00326CE0"/>
    <w:rsid w:val="00327171"/>
    <w:rsid w:val="003274DA"/>
    <w:rsid w:val="003301E2"/>
    <w:rsid w:val="00330386"/>
    <w:rsid w:val="00330CC7"/>
    <w:rsid w:val="00331EC2"/>
    <w:rsid w:val="00332104"/>
    <w:rsid w:val="0033345B"/>
    <w:rsid w:val="00333B13"/>
    <w:rsid w:val="00335D70"/>
    <w:rsid w:val="00337015"/>
    <w:rsid w:val="0034063D"/>
    <w:rsid w:val="0034244B"/>
    <w:rsid w:val="0034377E"/>
    <w:rsid w:val="00345024"/>
    <w:rsid w:val="00345353"/>
    <w:rsid w:val="0034607B"/>
    <w:rsid w:val="00346544"/>
    <w:rsid w:val="00346BDB"/>
    <w:rsid w:val="00347B49"/>
    <w:rsid w:val="00350A61"/>
    <w:rsid w:val="00351141"/>
    <w:rsid w:val="003520C3"/>
    <w:rsid w:val="00352890"/>
    <w:rsid w:val="00352D14"/>
    <w:rsid w:val="00353011"/>
    <w:rsid w:val="00353A4E"/>
    <w:rsid w:val="0035509D"/>
    <w:rsid w:val="00355148"/>
    <w:rsid w:val="0035599A"/>
    <w:rsid w:val="003568B0"/>
    <w:rsid w:val="00356A76"/>
    <w:rsid w:val="0035791B"/>
    <w:rsid w:val="00360612"/>
    <w:rsid w:val="003621DA"/>
    <w:rsid w:val="00362375"/>
    <w:rsid w:val="003634D2"/>
    <w:rsid w:val="00363887"/>
    <w:rsid w:val="00366020"/>
    <w:rsid w:val="00373C6D"/>
    <w:rsid w:val="00373F3F"/>
    <w:rsid w:val="00373FE3"/>
    <w:rsid w:val="003741E1"/>
    <w:rsid w:val="003746F2"/>
    <w:rsid w:val="00375407"/>
    <w:rsid w:val="00375EE0"/>
    <w:rsid w:val="0037663B"/>
    <w:rsid w:val="00376BAD"/>
    <w:rsid w:val="003771E0"/>
    <w:rsid w:val="00380F42"/>
    <w:rsid w:val="0038309D"/>
    <w:rsid w:val="00383F1B"/>
    <w:rsid w:val="0038442C"/>
    <w:rsid w:val="00384935"/>
    <w:rsid w:val="00385378"/>
    <w:rsid w:val="003855F8"/>
    <w:rsid w:val="003856EF"/>
    <w:rsid w:val="00386622"/>
    <w:rsid w:val="00387377"/>
    <w:rsid w:val="00387B33"/>
    <w:rsid w:val="00390961"/>
    <w:rsid w:val="00390FEC"/>
    <w:rsid w:val="00391691"/>
    <w:rsid w:val="0039193C"/>
    <w:rsid w:val="00391AD7"/>
    <w:rsid w:val="003924EE"/>
    <w:rsid w:val="003925C1"/>
    <w:rsid w:val="00392EB2"/>
    <w:rsid w:val="00393393"/>
    <w:rsid w:val="00393C39"/>
    <w:rsid w:val="00395308"/>
    <w:rsid w:val="0039688F"/>
    <w:rsid w:val="00397AEF"/>
    <w:rsid w:val="003A0EC1"/>
    <w:rsid w:val="003A103A"/>
    <w:rsid w:val="003A1D98"/>
    <w:rsid w:val="003A34A3"/>
    <w:rsid w:val="003A3FB8"/>
    <w:rsid w:val="003A483D"/>
    <w:rsid w:val="003A4E79"/>
    <w:rsid w:val="003A5E10"/>
    <w:rsid w:val="003A66CF"/>
    <w:rsid w:val="003A739B"/>
    <w:rsid w:val="003B04B1"/>
    <w:rsid w:val="003B0509"/>
    <w:rsid w:val="003B13D9"/>
    <w:rsid w:val="003B2925"/>
    <w:rsid w:val="003B2BD3"/>
    <w:rsid w:val="003B3D68"/>
    <w:rsid w:val="003B3F0A"/>
    <w:rsid w:val="003B47FA"/>
    <w:rsid w:val="003B4923"/>
    <w:rsid w:val="003C0AC5"/>
    <w:rsid w:val="003C25F6"/>
    <w:rsid w:val="003C29A0"/>
    <w:rsid w:val="003C29AD"/>
    <w:rsid w:val="003C2DA7"/>
    <w:rsid w:val="003C4F82"/>
    <w:rsid w:val="003C4FE0"/>
    <w:rsid w:val="003C568C"/>
    <w:rsid w:val="003C5BA0"/>
    <w:rsid w:val="003C5D2E"/>
    <w:rsid w:val="003C6075"/>
    <w:rsid w:val="003C6A50"/>
    <w:rsid w:val="003C71BB"/>
    <w:rsid w:val="003D13C7"/>
    <w:rsid w:val="003D15B6"/>
    <w:rsid w:val="003D1857"/>
    <w:rsid w:val="003D225C"/>
    <w:rsid w:val="003D2CDD"/>
    <w:rsid w:val="003D36AB"/>
    <w:rsid w:val="003D4556"/>
    <w:rsid w:val="003D6204"/>
    <w:rsid w:val="003D76FD"/>
    <w:rsid w:val="003E0BFE"/>
    <w:rsid w:val="003E0CC3"/>
    <w:rsid w:val="003E0D1A"/>
    <w:rsid w:val="003E194C"/>
    <w:rsid w:val="003E19BE"/>
    <w:rsid w:val="003E2A17"/>
    <w:rsid w:val="003E2B73"/>
    <w:rsid w:val="003E353C"/>
    <w:rsid w:val="003E38A3"/>
    <w:rsid w:val="003E3A7E"/>
    <w:rsid w:val="003E3CB2"/>
    <w:rsid w:val="003E4453"/>
    <w:rsid w:val="003E5026"/>
    <w:rsid w:val="003E54C7"/>
    <w:rsid w:val="003E5F65"/>
    <w:rsid w:val="003E6B9A"/>
    <w:rsid w:val="003E74B7"/>
    <w:rsid w:val="003E7831"/>
    <w:rsid w:val="003E78A6"/>
    <w:rsid w:val="003E7B6C"/>
    <w:rsid w:val="003F019D"/>
    <w:rsid w:val="003F0987"/>
    <w:rsid w:val="003F0A30"/>
    <w:rsid w:val="003F0CE0"/>
    <w:rsid w:val="003F113B"/>
    <w:rsid w:val="003F1ADA"/>
    <w:rsid w:val="003F457C"/>
    <w:rsid w:val="003F5130"/>
    <w:rsid w:val="003F56B3"/>
    <w:rsid w:val="003F5A20"/>
    <w:rsid w:val="003F7156"/>
    <w:rsid w:val="003F7C08"/>
    <w:rsid w:val="004004A4"/>
    <w:rsid w:val="00400741"/>
    <w:rsid w:val="00400C9C"/>
    <w:rsid w:val="00401AC5"/>
    <w:rsid w:val="00402674"/>
    <w:rsid w:val="004027B4"/>
    <w:rsid w:val="004028BB"/>
    <w:rsid w:val="00402959"/>
    <w:rsid w:val="00402C18"/>
    <w:rsid w:val="0040502D"/>
    <w:rsid w:val="00405410"/>
    <w:rsid w:val="004054A7"/>
    <w:rsid w:val="004055BE"/>
    <w:rsid w:val="00406BB2"/>
    <w:rsid w:val="00407A5C"/>
    <w:rsid w:val="004107AC"/>
    <w:rsid w:val="00410D03"/>
    <w:rsid w:val="00412ECE"/>
    <w:rsid w:val="0041383F"/>
    <w:rsid w:val="00416CDC"/>
    <w:rsid w:val="004214C6"/>
    <w:rsid w:val="004214D9"/>
    <w:rsid w:val="00422162"/>
    <w:rsid w:val="00422432"/>
    <w:rsid w:val="00422518"/>
    <w:rsid w:val="00423663"/>
    <w:rsid w:val="00423C5E"/>
    <w:rsid w:val="00424024"/>
    <w:rsid w:val="004243FA"/>
    <w:rsid w:val="00424473"/>
    <w:rsid w:val="00426850"/>
    <w:rsid w:val="00426BF4"/>
    <w:rsid w:val="00426E43"/>
    <w:rsid w:val="00427885"/>
    <w:rsid w:val="00427EF9"/>
    <w:rsid w:val="004309D7"/>
    <w:rsid w:val="00430D4F"/>
    <w:rsid w:val="00431630"/>
    <w:rsid w:val="00431700"/>
    <w:rsid w:val="004321B5"/>
    <w:rsid w:val="0043222E"/>
    <w:rsid w:val="00432992"/>
    <w:rsid w:val="00433285"/>
    <w:rsid w:val="00433596"/>
    <w:rsid w:val="00433980"/>
    <w:rsid w:val="00433AFD"/>
    <w:rsid w:val="004346ED"/>
    <w:rsid w:val="004353CE"/>
    <w:rsid w:val="00437BA6"/>
    <w:rsid w:val="00437CCB"/>
    <w:rsid w:val="004405C7"/>
    <w:rsid w:val="004405E4"/>
    <w:rsid w:val="00440F37"/>
    <w:rsid w:val="0044130F"/>
    <w:rsid w:val="00441C79"/>
    <w:rsid w:val="0044284D"/>
    <w:rsid w:val="00442850"/>
    <w:rsid w:val="0044287B"/>
    <w:rsid w:val="00443904"/>
    <w:rsid w:val="00443FAD"/>
    <w:rsid w:val="00444BD8"/>
    <w:rsid w:val="004450CC"/>
    <w:rsid w:val="004459C2"/>
    <w:rsid w:val="00445B2F"/>
    <w:rsid w:val="00446282"/>
    <w:rsid w:val="00446B73"/>
    <w:rsid w:val="004472F5"/>
    <w:rsid w:val="00447F49"/>
    <w:rsid w:val="00450047"/>
    <w:rsid w:val="00450381"/>
    <w:rsid w:val="0045113A"/>
    <w:rsid w:val="0045217A"/>
    <w:rsid w:val="0045260D"/>
    <w:rsid w:val="004539C9"/>
    <w:rsid w:val="00454072"/>
    <w:rsid w:val="00454F24"/>
    <w:rsid w:val="0045628D"/>
    <w:rsid w:val="00457108"/>
    <w:rsid w:val="004573F5"/>
    <w:rsid w:val="00461E16"/>
    <w:rsid w:val="0046297A"/>
    <w:rsid w:val="00464934"/>
    <w:rsid w:val="004652B8"/>
    <w:rsid w:val="00465B60"/>
    <w:rsid w:val="00465B6B"/>
    <w:rsid w:val="0046744F"/>
    <w:rsid w:val="0047049D"/>
    <w:rsid w:val="004706BB"/>
    <w:rsid w:val="00470886"/>
    <w:rsid w:val="004713E9"/>
    <w:rsid w:val="00473CE7"/>
    <w:rsid w:val="00473EB8"/>
    <w:rsid w:val="00473F1A"/>
    <w:rsid w:val="00474585"/>
    <w:rsid w:val="00475569"/>
    <w:rsid w:val="00477015"/>
    <w:rsid w:val="00477C63"/>
    <w:rsid w:val="0048101A"/>
    <w:rsid w:val="0048128B"/>
    <w:rsid w:val="00481835"/>
    <w:rsid w:val="00481D53"/>
    <w:rsid w:val="004822DA"/>
    <w:rsid w:val="004828B4"/>
    <w:rsid w:val="0048299B"/>
    <w:rsid w:val="00482F68"/>
    <w:rsid w:val="00482F6B"/>
    <w:rsid w:val="004833F4"/>
    <w:rsid w:val="004835F9"/>
    <w:rsid w:val="00483D50"/>
    <w:rsid w:val="00485BC1"/>
    <w:rsid w:val="00486787"/>
    <w:rsid w:val="00486C89"/>
    <w:rsid w:val="00487B65"/>
    <w:rsid w:val="00491154"/>
    <w:rsid w:val="00492686"/>
    <w:rsid w:val="004927EE"/>
    <w:rsid w:val="00496158"/>
    <w:rsid w:val="00497B5E"/>
    <w:rsid w:val="004A0957"/>
    <w:rsid w:val="004A390D"/>
    <w:rsid w:val="004A430A"/>
    <w:rsid w:val="004A4A16"/>
    <w:rsid w:val="004A4BAF"/>
    <w:rsid w:val="004A4EB7"/>
    <w:rsid w:val="004A56EB"/>
    <w:rsid w:val="004A6396"/>
    <w:rsid w:val="004A64AA"/>
    <w:rsid w:val="004A68B0"/>
    <w:rsid w:val="004A799C"/>
    <w:rsid w:val="004B0032"/>
    <w:rsid w:val="004B00E5"/>
    <w:rsid w:val="004B0A24"/>
    <w:rsid w:val="004B0ECB"/>
    <w:rsid w:val="004B1655"/>
    <w:rsid w:val="004B1E55"/>
    <w:rsid w:val="004B28CD"/>
    <w:rsid w:val="004B41B1"/>
    <w:rsid w:val="004B4D06"/>
    <w:rsid w:val="004B537C"/>
    <w:rsid w:val="004B564E"/>
    <w:rsid w:val="004B70EF"/>
    <w:rsid w:val="004C18D0"/>
    <w:rsid w:val="004C1B20"/>
    <w:rsid w:val="004C2F08"/>
    <w:rsid w:val="004C3666"/>
    <w:rsid w:val="004C5683"/>
    <w:rsid w:val="004C5855"/>
    <w:rsid w:val="004C6AF9"/>
    <w:rsid w:val="004C6D1E"/>
    <w:rsid w:val="004D0B47"/>
    <w:rsid w:val="004D216B"/>
    <w:rsid w:val="004D3F1B"/>
    <w:rsid w:val="004D44CF"/>
    <w:rsid w:val="004D6755"/>
    <w:rsid w:val="004D685C"/>
    <w:rsid w:val="004D6E71"/>
    <w:rsid w:val="004D770E"/>
    <w:rsid w:val="004D7DF1"/>
    <w:rsid w:val="004E197B"/>
    <w:rsid w:val="004E1DE4"/>
    <w:rsid w:val="004E24BB"/>
    <w:rsid w:val="004E28E9"/>
    <w:rsid w:val="004E3063"/>
    <w:rsid w:val="004E3EF5"/>
    <w:rsid w:val="004E3FE9"/>
    <w:rsid w:val="004E4479"/>
    <w:rsid w:val="004E5CB9"/>
    <w:rsid w:val="004E6A4D"/>
    <w:rsid w:val="004E6CB1"/>
    <w:rsid w:val="004F0EBB"/>
    <w:rsid w:val="004F400D"/>
    <w:rsid w:val="004F44AB"/>
    <w:rsid w:val="004F4C6F"/>
    <w:rsid w:val="004F5032"/>
    <w:rsid w:val="004F6380"/>
    <w:rsid w:val="004F6E37"/>
    <w:rsid w:val="00501284"/>
    <w:rsid w:val="00502581"/>
    <w:rsid w:val="005041A2"/>
    <w:rsid w:val="00504677"/>
    <w:rsid w:val="00504D55"/>
    <w:rsid w:val="0050507A"/>
    <w:rsid w:val="00505497"/>
    <w:rsid w:val="005061E2"/>
    <w:rsid w:val="005120AE"/>
    <w:rsid w:val="005132D9"/>
    <w:rsid w:val="005140F1"/>
    <w:rsid w:val="005159AB"/>
    <w:rsid w:val="00516B9F"/>
    <w:rsid w:val="00516E52"/>
    <w:rsid w:val="00517613"/>
    <w:rsid w:val="00520119"/>
    <w:rsid w:val="00521F54"/>
    <w:rsid w:val="005225AA"/>
    <w:rsid w:val="00523481"/>
    <w:rsid w:val="0052452F"/>
    <w:rsid w:val="005267F7"/>
    <w:rsid w:val="0052691E"/>
    <w:rsid w:val="0052720F"/>
    <w:rsid w:val="00531776"/>
    <w:rsid w:val="00533009"/>
    <w:rsid w:val="00533D55"/>
    <w:rsid w:val="00534F3D"/>
    <w:rsid w:val="00535AAD"/>
    <w:rsid w:val="00540246"/>
    <w:rsid w:val="0054227D"/>
    <w:rsid w:val="00542D39"/>
    <w:rsid w:val="005430D4"/>
    <w:rsid w:val="0054366C"/>
    <w:rsid w:val="005456A8"/>
    <w:rsid w:val="0054594A"/>
    <w:rsid w:val="00546897"/>
    <w:rsid w:val="00546A3C"/>
    <w:rsid w:val="005472E9"/>
    <w:rsid w:val="005478D4"/>
    <w:rsid w:val="00550BBA"/>
    <w:rsid w:val="00553247"/>
    <w:rsid w:val="00553C87"/>
    <w:rsid w:val="00553F33"/>
    <w:rsid w:val="005544F6"/>
    <w:rsid w:val="00555A57"/>
    <w:rsid w:val="00555BA9"/>
    <w:rsid w:val="0055664F"/>
    <w:rsid w:val="00557594"/>
    <w:rsid w:val="0056011D"/>
    <w:rsid w:val="0056020A"/>
    <w:rsid w:val="005604F5"/>
    <w:rsid w:val="0056138E"/>
    <w:rsid w:val="00562696"/>
    <w:rsid w:val="00562727"/>
    <w:rsid w:val="00562CD6"/>
    <w:rsid w:val="005634DF"/>
    <w:rsid w:val="00563CD1"/>
    <w:rsid w:val="0056793A"/>
    <w:rsid w:val="005704EB"/>
    <w:rsid w:val="00570577"/>
    <w:rsid w:val="00570860"/>
    <w:rsid w:val="00570A3D"/>
    <w:rsid w:val="0057129F"/>
    <w:rsid w:val="005719F1"/>
    <w:rsid w:val="00571B52"/>
    <w:rsid w:val="005725AD"/>
    <w:rsid w:val="00572CD3"/>
    <w:rsid w:val="00572D91"/>
    <w:rsid w:val="00573723"/>
    <w:rsid w:val="00573879"/>
    <w:rsid w:val="005744D2"/>
    <w:rsid w:val="0057491E"/>
    <w:rsid w:val="005759CC"/>
    <w:rsid w:val="00576817"/>
    <w:rsid w:val="0057787D"/>
    <w:rsid w:val="00577949"/>
    <w:rsid w:val="00580DCD"/>
    <w:rsid w:val="00582CD4"/>
    <w:rsid w:val="00582E01"/>
    <w:rsid w:val="00583A25"/>
    <w:rsid w:val="00585343"/>
    <w:rsid w:val="00585494"/>
    <w:rsid w:val="00585532"/>
    <w:rsid w:val="00587F78"/>
    <w:rsid w:val="005904E4"/>
    <w:rsid w:val="00590EEF"/>
    <w:rsid w:val="00590F0E"/>
    <w:rsid w:val="005911A6"/>
    <w:rsid w:val="0059157C"/>
    <w:rsid w:val="00591C3C"/>
    <w:rsid w:val="00593503"/>
    <w:rsid w:val="00595769"/>
    <w:rsid w:val="00595DBE"/>
    <w:rsid w:val="00596E74"/>
    <w:rsid w:val="005972C8"/>
    <w:rsid w:val="005A0D75"/>
    <w:rsid w:val="005A17D2"/>
    <w:rsid w:val="005A1A1E"/>
    <w:rsid w:val="005A3AFB"/>
    <w:rsid w:val="005A5215"/>
    <w:rsid w:val="005A5582"/>
    <w:rsid w:val="005A5FD1"/>
    <w:rsid w:val="005A6480"/>
    <w:rsid w:val="005A72C2"/>
    <w:rsid w:val="005A7DBC"/>
    <w:rsid w:val="005B11B4"/>
    <w:rsid w:val="005B1E79"/>
    <w:rsid w:val="005B344D"/>
    <w:rsid w:val="005B38A6"/>
    <w:rsid w:val="005B643E"/>
    <w:rsid w:val="005B75FA"/>
    <w:rsid w:val="005B7803"/>
    <w:rsid w:val="005C02E6"/>
    <w:rsid w:val="005C03A4"/>
    <w:rsid w:val="005C0C0E"/>
    <w:rsid w:val="005C0D20"/>
    <w:rsid w:val="005C15E8"/>
    <w:rsid w:val="005C3216"/>
    <w:rsid w:val="005C4790"/>
    <w:rsid w:val="005C6070"/>
    <w:rsid w:val="005C6C1F"/>
    <w:rsid w:val="005C7088"/>
    <w:rsid w:val="005C7177"/>
    <w:rsid w:val="005D0A34"/>
    <w:rsid w:val="005D0F49"/>
    <w:rsid w:val="005D165F"/>
    <w:rsid w:val="005D2E4A"/>
    <w:rsid w:val="005D3D2F"/>
    <w:rsid w:val="005D4D47"/>
    <w:rsid w:val="005D543A"/>
    <w:rsid w:val="005D5D4C"/>
    <w:rsid w:val="005D6831"/>
    <w:rsid w:val="005D6A92"/>
    <w:rsid w:val="005E1AA3"/>
    <w:rsid w:val="005E2169"/>
    <w:rsid w:val="005E221F"/>
    <w:rsid w:val="005E2ADF"/>
    <w:rsid w:val="005E352C"/>
    <w:rsid w:val="005E447B"/>
    <w:rsid w:val="005E4817"/>
    <w:rsid w:val="005E60FD"/>
    <w:rsid w:val="005E66BC"/>
    <w:rsid w:val="005E695A"/>
    <w:rsid w:val="005E6F1E"/>
    <w:rsid w:val="005F0045"/>
    <w:rsid w:val="005F0EBF"/>
    <w:rsid w:val="005F3BCD"/>
    <w:rsid w:val="005F4239"/>
    <w:rsid w:val="005F481E"/>
    <w:rsid w:val="005F5ABE"/>
    <w:rsid w:val="005F6C74"/>
    <w:rsid w:val="005F6E60"/>
    <w:rsid w:val="005F7BE5"/>
    <w:rsid w:val="006025C4"/>
    <w:rsid w:val="00602936"/>
    <w:rsid w:val="006033C8"/>
    <w:rsid w:val="00603520"/>
    <w:rsid w:val="006037F5"/>
    <w:rsid w:val="00603C4F"/>
    <w:rsid w:val="006041AD"/>
    <w:rsid w:val="00604B10"/>
    <w:rsid w:val="00605A8B"/>
    <w:rsid w:val="00606515"/>
    <w:rsid w:val="006075B2"/>
    <w:rsid w:val="00610D55"/>
    <w:rsid w:val="00611067"/>
    <w:rsid w:val="00611168"/>
    <w:rsid w:val="00611F32"/>
    <w:rsid w:val="00612318"/>
    <w:rsid w:val="0061372C"/>
    <w:rsid w:val="0061386E"/>
    <w:rsid w:val="00614568"/>
    <w:rsid w:val="00615EF8"/>
    <w:rsid w:val="00616E7D"/>
    <w:rsid w:val="00616EBE"/>
    <w:rsid w:val="00616F51"/>
    <w:rsid w:val="006172F8"/>
    <w:rsid w:val="006202EF"/>
    <w:rsid w:val="00620DFA"/>
    <w:rsid w:val="00621914"/>
    <w:rsid w:val="006239C4"/>
    <w:rsid w:val="00623CF6"/>
    <w:rsid w:val="006241F2"/>
    <w:rsid w:val="00624348"/>
    <w:rsid w:val="00624D75"/>
    <w:rsid w:val="00625946"/>
    <w:rsid w:val="00625F1A"/>
    <w:rsid w:val="00626A5C"/>
    <w:rsid w:val="006274DD"/>
    <w:rsid w:val="006312FD"/>
    <w:rsid w:val="00631546"/>
    <w:rsid w:val="00631B5E"/>
    <w:rsid w:val="00631CE6"/>
    <w:rsid w:val="00632F4E"/>
    <w:rsid w:val="00632F5B"/>
    <w:rsid w:val="00634420"/>
    <w:rsid w:val="00636C95"/>
    <w:rsid w:val="00637D0D"/>
    <w:rsid w:val="00640940"/>
    <w:rsid w:val="00641350"/>
    <w:rsid w:val="00642D60"/>
    <w:rsid w:val="00644324"/>
    <w:rsid w:val="006448F1"/>
    <w:rsid w:val="00644F34"/>
    <w:rsid w:val="00645A99"/>
    <w:rsid w:val="00645B1B"/>
    <w:rsid w:val="00646443"/>
    <w:rsid w:val="006468ED"/>
    <w:rsid w:val="00647822"/>
    <w:rsid w:val="006505CA"/>
    <w:rsid w:val="0065072C"/>
    <w:rsid w:val="00651DD3"/>
    <w:rsid w:val="00651FB3"/>
    <w:rsid w:val="00652114"/>
    <w:rsid w:val="00652204"/>
    <w:rsid w:val="006529FD"/>
    <w:rsid w:val="006534B1"/>
    <w:rsid w:val="00653734"/>
    <w:rsid w:val="00653F1D"/>
    <w:rsid w:val="006543C9"/>
    <w:rsid w:val="00655269"/>
    <w:rsid w:val="00655CF8"/>
    <w:rsid w:val="00661B86"/>
    <w:rsid w:val="00662F57"/>
    <w:rsid w:val="006647E4"/>
    <w:rsid w:val="00664B4E"/>
    <w:rsid w:val="00664D65"/>
    <w:rsid w:val="00665629"/>
    <w:rsid w:val="00665A79"/>
    <w:rsid w:val="00665C24"/>
    <w:rsid w:val="00665DBD"/>
    <w:rsid w:val="006660CD"/>
    <w:rsid w:val="006665AB"/>
    <w:rsid w:val="00666F8D"/>
    <w:rsid w:val="00667904"/>
    <w:rsid w:val="0067129E"/>
    <w:rsid w:val="006718F0"/>
    <w:rsid w:val="00674B06"/>
    <w:rsid w:val="006772EC"/>
    <w:rsid w:val="00677379"/>
    <w:rsid w:val="00680774"/>
    <w:rsid w:val="00681F0D"/>
    <w:rsid w:val="00682798"/>
    <w:rsid w:val="00683380"/>
    <w:rsid w:val="0068348B"/>
    <w:rsid w:val="006837F8"/>
    <w:rsid w:val="006841A8"/>
    <w:rsid w:val="0068452E"/>
    <w:rsid w:val="00685095"/>
    <w:rsid w:val="0068515B"/>
    <w:rsid w:val="00686036"/>
    <w:rsid w:val="006867D8"/>
    <w:rsid w:val="0068704B"/>
    <w:rsid w:val="006911A9"/>
    <w:rsid w:val="006912E9"/>
    <w:rsid w:val="00691FFE"/>
    <w:rsid w:val="00692A06"/>
    <w:rsid w:val="00692C32"/>
    <w:rsid w:val="00692C3D"/>
    <w:rsid w:val="0069325B"/>
    <w:rsid w:val="00693EC7"/>
    <w:rsid w:val="0069557A"/>
    <w:rsid w:val="00695702"/>
    <w:rsid w:val="006957AF"/>
    <w:rsid w:val="006959A6"/>
    <w:rsid w:val="00696268"/>
    <w:rsid w:val="0069723A"/>
    <w:rsid w:val="00697293"/>
    <w:rsid w:val="0069764F"/>
    <w:rsid w:val="00697E21"/>
    <w:rsid w:val="006A1C36"/>
    <w:rsid w:val="006A2511"/>
    <w:rsid w:val="006A27CC"/>
    <w:rsid w:val="006A3A75"/>
    <w:rsid w:val="006A43F0"/>
    <w:rsid w:val="006A58EB"/>
    <w:rsid w:val="006A6846"/>
    <w:rsid w:val="006A7E29"/>
    <w:rsid w:val="006B1289"/>
    <w:rsid w:val="006B2512"/>
    <w:rsid w:val="006B2FFD"/>
    <w:rsid w:val="006B3F68"/>
    <w:rsid w:val="006B40CB"/>
    <w:rsid w:val="006B49AD"/>
    <w:rsid w:val="006B5457"/>
    <w:rsid w:val="006B6FDF"/>
    <w:rsid w:val="006B7455"/>
    <w:rsid w:val="006C3286"/>
    <w:rsid w:val="006C34F4"/>
    <w:rsid w:val="006C46AB"/>
    <w:rsid w:val="006C5B6B"/>
    <w:rsid w:val="006D061C"/>
    <w:rsid w:val="006D278A"/>
    <w:rsid w:val="006D317A"/>
    <w:rsid w:val="006D4433"/>
    <w:rsid w:val="006D4EFF"/>
    <w:rsid w:val="006D4FB4"/>
    <w:rsid w:val="006D5622"/>
    <w:rsid w:val="006D56C4"/>
    <w:rsid w:val="006D585C"/>
    <w:rsid w:val="006D5DA5"/>
    <w:rsid w:val="006D632F"/>
    <w:rsid w:val="006E0163"/>
    <w:rsid w:val="006E03DA"/>
    <w:rsid w:val="006E0FB8"/>
    <w:rsid w:val="006E1592"/>
    <w:rsid w:val="006E2471"/>
    <w:rsid w:val="006E3789"/>
    <w:rsid w:val="006E5615"/>
    <w:rsid w:val="006E7710"/>
    <w:rsid w:val="006E7878"/>
    <w:rsid w:val="006F03C0"/>
    <w:rsid w:val="006F079C"/>
    <w:rsid w:val="006F17C7"/>
    <w:rsid w:val="006F1D04"/>
    <w:rsid w:val="006F23AA"/>
    <w:rsid w:val="006F25C7"/>
    <w:rsid w:val="006F356F"/>
    <w:rsid w:val="006F40D4"/>
    <w:rsid w:val="006F44DE"/>
    <w:rsid w:val="006F51D1"/>
    <w:rsid w:val="006F55D8"/>
    <w:rsid w:val="006F5EB4"/>
    <w:rsid w:val="006F7129"/>
    <w:rsid w:val="006F791E"/>
    <w:rsid w:val="00700E66"/>
    <w:rsid w:val="00703624"/>
    <w:rsid w:val="00703843"/>
    <w:rsid w:val="00704D08"/>
    <w:rsid w:val="00704ED0"/>
    <w:rsid w:val="007053B3"/>
    <w:rsid w:val="007067CA"/>
    <w:rsid w:val="0070718B"/>
    <w:rsid w:val="00707487"/>
    <w:rsid w:val="007078F7"/>
    <w:rsid w:val="00707AF7"/>
    <w:rsid w:val="00710F73"/>
    <w:rsid w:val="00710FD4"/>
    <w:rsid w:val="00711723"/>
    <w:rsid w:val="007120EF"/>
    <w:rsid w:val="00712107"/>
    <w:rsid w:val="00712CCE"/>
    <w:rsid w:val="00714058"/>
    <w:rsid w:val="00715CF2"/>
    <w:rsid w:val="00715D10"/>
    <w:rsid w:val="0071741A"/>
    <w:rsid w:val="00717624"/>
    <w:rsid w:val="00717D1C"/>
    <w:rsid w:val="00717F99"/>
    <w:rsid w:val="007200F7"/>
    <w:rsid w:val="00720781"/>
    <w:rsid w:val="00720D8B"/>
    <w:rsid w:val="007220C5"/>
    <w:rsid w:val="007224D5"/>
    <w:rsid w:val="00723030"/>
    <w:rsid w:val="00723BB4"/>
    <w:rsid w:val="00724D7F"/>
    <w:rsid w:val="007258F6"/>
    <w:rsid w:val="007259CC"/>
    <w:rsid w:val="00725AD9"/>
    <w:rsid w:val="00725F98"/>
    <w:rsid w:val="0072673E"/>
    <w:rsid w:val="00726853"/>
    <w:rsid w:val="007308BA"/>
    <w:rsid w:val="0073176A"/>
    <w:rsid w:val="00732849"/>
    <w:rsid w:val="007333C4"/>
    <w:rsid w:val="0073370C"/>
    <w:rsid w:val="00735010"/>
    <w:rsid w:val="007355EE"/>
    <w:rsid w:val="00735F7D"/>
    <w:rsid w:val="007374B2"/>
    <w:rsid w:val="00737624"/>
    <w:rsid w:val="007379E0"/>
    <w:rsid w:val="00737E03"/>
    <w:rsid w:val="007404D4"/>
    <w:rsid w:val="00740602"/>
    <w:rsid w:val="00743DCA"/>
    <w:rsid w:val="00743F44"/>
    <w:rsid w:val="007447C8"/>
    <w:rsid w:val="00744DB1"/>
    <w:rsid w:val="0074595D"/>
    <w:rsid w:val="007464CF"/>
    <w:rsid w:val="00750801"/>
    <w:rsid w:val="00752B93"/>
    <w:rsid w:val="00752E6A"/>
    <w:rsid w:val="00754401"/>
    <w:rsid w:val="00756BC4"/>
    <w:rsid w:val="0076011E"/>
    <w:rsid w:val="00760895"/>
    <w:rsid w:val="0076139A"/>
    <w:rsid w:val="007618F8"/>
    <w:rsid w:val="00761C58"/>
    <w:rsid w:val="00765B58"/>
    <w:rsid w:val="00767706"/>
    <w:rsid w:val="00770015"/>
    <w:rsid w:val="007718AC"/>
    <w:rsid w:val="00771D92"/>
    <w:rsid w:val="007721E3"/>
    <w:rsid w:val="00773012"/>
    <w:rsid w:val="0077311F"/>
    <w:rsid w:val="0077402A"/>
    <w:rsid w:val="007746FD"/>
    <w:rsid w:val="00774956"/>
    <w:rsid w:val="00776357"/>
    <w:rsid w:val="007765B9"/>
    <w:rsid w:val="0077747A"/>
    <w:rsid w:val="00780CB6"/>
    <w:rsid w:val="00780F52"/>
    <w:rsid w:val="00781263"/>
    <w:rsid w:val="007837EB"/>
    <w:rsid w:val="00783B68"/>
    <w:rsid w:val="007846B9"/>
    <w:rsid w:val="00784A96"/>
    <w:rsid w:val="00784E43"/>
    <w:rsid w:val="00785286"/>
    <w:rsid w:val="00785AED"/>
    <w:rsid w:val="00785BAF"/>
    <w:rsid w:val="00785FD8"/>
    <w:rsid w:val="00786044"/>
    <w:rsid w:val="00786B54"/>
    <w:rsid w:val="00786D24"/>
    <w:rsid w:val="0078724F"/>
    <w:rsid w:val="007876A7"/>
    <w:rsid w:val="007877AA"/>
    <w:rsid w:val="00790157"/>
    <w:rsid w:val="0079136D"/>
    <w:rsid w:val="0079167C"/>
    <w:rsid w:val="0079440C"/>
    <w:rsid w:val="007950A2"/>
    <w:rsid w:val="00795FBA"/>
    <w:rsid w:val="00796A7F"/>
    <w:rsid w:val="007A04B6"/>
    <w:rsid w:val="007A055A"/>
    <w:rsid w:val="007A0CCB"/>
    <w:rsid w:val="007A2330"/>
    <w:rsid w:val="007A2F69"/>
    <w:rsid w:val="007A36E6"/>
    <w:rsid w:val="007A43F8"/>
    <w:rsid w:val="007A4D05"/>
    <w:rsid w:val="007A762B"/>
    <w:rsid w:val="007B04C7"/>
    <w:rsid w:val="007B21A7"/>
    <w:rsid w:val="007B231F"/>
    <w:rsid w:val="007B2B29"/>
    <w:rsid w:val="007B2E41"/>
    <w:rsid w:val="007B3BD1"/>
    <w:rsid w:val="007B6619"/>
    <w:rsid w:val="007B7426"/>
    <w:rsid w:val="007B7684"/>
    <w:rsid w:val="007C0323"/>
    <w:rsid w:val="007C0944"/>
    <w:rsid w:val="007C393F"/>
    <w:rsid w:val="007C4A3E"/>
    <w:rsid w:val="007C4BCA"/>
    <w:rsid w:val="007C6CC0"/>
    <w:rsid w:val="007C729C"/>
    <w:rsid w:val="007D0F79"/>
    <w:rsid w:val="007D1187"/>
    <w:rsid w:val="007D139E"/>
    <w:rsid w:val="007D1AE0"/>
    <w:rsid w:val="007D2042"/>
    <w:rsid w:val="007D2E4C"/>
    <w:rsid w:val="007D46B1"/>
    <w:rsid w:val="007D510E"/>
    <w:rsid w:val="007D58F6"/>
    <w:rsid w:val="007D5970"/>
    <w:rsid w:val="007D73CE"/>
    <w:rsid w:val="007E0051"/>
    <w:rsid w:val="007E07B8"/>
    <w:rsid w:val="007E188E"/>
    <w:rsid w:val="007E192E"/>
    <w:rsid w:val="007E2EDE"/>
    <w:rsid w:val="007E325F"/>
    <w:rsid w:val="007E44EA"/>
    <w:rsid w:val="007E583F"/>
    <w:rsid w:val="007E5B98"/>
    <w:rsid w:val="007E613C"/>
    <w:rsid w:val="007E7518"/>
    <w:rsid w:val="007F0076"/>
    <w:rsid w:val="007F0D2F"/>
    <w:rsid w:val="007F1347"/>
    <w:rsid w:val="007F14BC"/>
    <w:rsid w:val="007F18D8"/>
    <w:rsid w:val="007F1DBD"/>
    <w:rsid w:val="007F3BF6"/>
    <w:rsid w:val="007F47A8"/>
    <w:rsid w:val="007F53D4"/>
    <w:rsid w:val="007F7D6E"/>
    <w:rsid w:val="00800A9C"/>
    <w:rsid w:val="00802857"/>
    <w:rsid w:val="00803D35"/>
    <w:rsid w:val="00803F51"/>
    <w:rsid w:val="008043A4"/>
    <w:rsid w:val="0080479D"/>
    <w:rsid w:val="00804BE4"/>
    <w:rsid w:val="00804CF0"/>
    <w:rsid w:val="00804E26"/>
    <w:rsid w:val="00804EC4"/>
    <w:rsid w:val="00805AC5"/>
    <w:rsid w:val="008065C8"/>
    <w:rsid w:val="0080732A"/>
    <w:rsid w:val="00807ABC"/>
    <w:rsid w:val="00810F6F"/>
    <w:rsid w:val="00811724"/>
    <w:rsid w:val="00811D88"/>
    <w:rsid w:val="00812BA3"/>
    <w:rsid w:val="008139F9"/>
    <w:rsid w:val="00815A33"/>
    <w:rsid w:val="00815CD5"/>
    <w:rsid w:val="00816FB4"/>
    <w:rsid w:val="00820AE4"/>
    <w:rsid w:val="00824804"/>
    <w:rsid w:val="00825FBF"/>
    <w:rsid w:val="00826ECC"/>
    <w:rsid w:val="00827722"/>
    <w:rsid w:val="00827C54"/>
    <w:rsid w:val="0083046D"/>
    <w:rsid w:val="008307FD"/>
    <w:rsid w:val="00830BB0"/>
    <w:rsid w:val="008321BB"/>
    <w:rsid w:val="00832492"/>
    <w:rsid w:val="00832ACC"/>
    <w:rsid w:val="00832BCD"/>
    <w:rsid w:val="00834144"/>
    <w:rsid w:val="008354C1"/>
    <w:rsid w:val="00835B35"/>
    <w:rsid w:val="00836FD3"/>
    <w:rsid w:val="00837AA1"/>
    <w:rsid w:val="00837CD1"/>
    <w:rsid w:val="00837EEF"/>
    <w:rsid w:val="00840815"/>
    <w:rsid w:val="008408B0"/>
    <w:rsid w:val="0084148E"/>
    <w:rsid w:val="00841F6A"/>
    <w:rsid w:val="00842EC0"/>
    <w:rsid w:val="008435E6"/>
    <w:rsid w:val="008436EA"/>
    <w:rsid w:val="00843EF6"/>
    <w:rsid w:val="00844152"/>
    <w:rsid w:val="0084592C"/>
    <w:rsid w:val="0084729D"/>
    <w:rsid w:val="0085022C"/>
    <w:rsid w:val="0085107E"/>
    <w:rsid w:val="008512EA"/>
    <w:rsid w:val="00851330"/>
    <w:rsid w:val="00851CCA"/>
    <w:rsid w:val="00852260"/>
    <w:rsid w:val="00852374"/>
    <w:rsid w:val="0085315C"/>
    <w:rsid w:val="00853740"/>
    <w:rsid w:val="0085465C"/>
    <w:rsid w:val="008556F7"/>
    <w:rsid w:val="008557E0"/>
    <w:rsid w:val="008571D3"/>
    <w:rsid w:val="008577B3"/>
    <w:rsid w:val="00857E27"/>
    <w:rsid w:val="008609B6"/>
    <w:rsid w:val="00860C80"/>
    <w:rsid w:val="00861998"/>
    <w:rsid w:val="008641D1"/>
    <w:rsid w:val="00865494"/>
    <w:rsid w:val="00865544"/>
    <w:rsid w:val="0086594C"/>
    <w:rsid w:val="00866538"/>
    <w:rsid w:val="00867FE5"/>
    <w:rsid w:val="00871A13"/>
    <w:rsid w:val="00871D3F"/>
    <w:rsid w:val="00873318"/>
    <w:rsid w:val="00876491"/>
    <w:rsid w:val="0087739E"/>
    <w:rsid w:val="00877C0C"/>
    <w:rsid w:val="00877D98"/>
    <w:rsid w:val="00880275"/>
    <w:rsid w:val="0088116F"/>
    <w:rsid w:val="00881DA2"/>
    <w:rsid w:val="00882B83"/>
    <w:rsid w:val="008849C8"/>
    <w:rsid w:val="00885F22"/>
    <w:rsid w:val="00890D97"/>
    <w:rsid w:val="00891D08"/>
    <w:rsid w:val="00891F8E"/>
    <w:rsid w:val="00892A78"/>
    <w:rsid w:val="00892F04"/>
    <w:rsid w:val="0089357C"/>
    <w:rsid w:val="00894727"/>
    <w:rsid w:val="008949C7"/>
    <w:rsid w:val="00895D51"/>
    <w:rsid w:val="0089608E"/>
    <w:rsid w:val="008976A3"/>
    <w:rsid w:val="008A10E0"/>
    <w:rsid w:val="008A10FD"/>
    <w:rsid w:val="008A4CC6"/>
    <w:rsid w:val="008A54ED"/>
    <w:rsid w:val="008A6A41"/>
    <w:rsid w:val="008A7AA5"/>
    <w:rsid w:val="008A7AE7"/>
    <w:rsid w:val="008B01C3"/>
    <w:rsid w:val="008B0A61"/>
    <w:rsid w:val="008B18E8"/>
    <w:rsid w:val="008B1A08"/>
    <w:rsid w:val="008B3437"/>
    <w:rsid w:val="008B3A93"/>
    <w:rsid w:val="008B642D"/>
    <w:rsid w:val="008B700B"/>
    <w:rsid w:val="008B76CA"/>
    <w:rsid w:val="008B7EBA"/>
    <w:rsid w:val="008C044B"/>
    <w:rsid w:val="008C2040"/>
    <w:rsid w:val="008C28BF"/>
    <w:rsid w:val="008C2FFD"/>
    <w:rsid w:val="008C42A3"/>
    <w:rsid w:val="008C4BE2"/>
    <w:rsid w:val="008C6097"/>
    <w:rsid w:val="008C7ADD"/>
    <w:rsid w:val="008D0278"/>
    <w:rsid w:val="008D1317"/>
    <w:rsid w:val="008D1E15"/>
    <w:rsid w:val="008D20B3"/>
    <w:rsid w:val="008D2C9D"/>
    <w:rsid w:val="008D43F2"/>
    <w:rsid w:val="008E020B"/>
    <w:rsid w:val="008E02C0"/>
    <w:rsid w:val="008E08A3"/>
    <w:rsid w:val="008E0FA6"/>
    <w:rsid w:val="008E1A12"/>
    <w:rsid w:val="008E1C30"/>
    <w:rsid w:val="008E1FC6"/>
    <w:rsid w:val="008E2154"/>
    <w:rsid w:val="008E2486"/>
    <w:rsid w:val="008E25FC"/>
    <w:rsid w:val="008E2639"/>
    <w:rsid w:val="008E2685"/>
    <w:rsid w:val="008E2FEE"/>
    <w:rsid w:val="008E351E"/>
    <w:rsid w:val="008E4F18"/>
    <w:rsid w:val="008E536A"/>
    <w:rsid w:val="008E5475"/>
    <w:rsid w:val="008E5CEA"/>
    <w:rsid w:val="008E6212"/>
    <w:rsid w:val="008E79E6"/>
    <w:rsid w:val="008F0F9B"/>
    <w:rsid w:val="008F4146"/>
    <w:rsid w:val="008F46B1"/>
    <w:rsid w:val="008F46E2"/>
    <w:rsid w:val="008F4930"/>
    <w:rsid w:val="008F4DD5"/>
    <w:rsid w:val="008F4E98"/>
    <w:rsid w:val="008F5B5B"/>
    <w:rsid w:val="008F622E"/>
    <w:rsid w:val="008F63CC"/>
    <w:rsid w:val="008F7A0C"/>
    <w:rsid w:val="009016CF"/>
    <w:rsid w:val="00902680"/>
    <w:rsid w:val="00902CEF"/>
    <w:rsid w:val="00903601"/>
    <w:rsid w:val="00903BC9"/>
    <w:rsid w:val="009041D0"/>
    <w:rsid w:val="00905512"/>
    <w:rsid w:val="0090796F"/>
    <w:rsid w:val="00907A33"/>
    <w:rsid w:val="00907AAE"/>
    <w:rsid w:val="009104AA"/>
    <w:rsid w:val="00911805"/>
    <w:rsid w:val="00911D18"/>
    <w:rsid w:val="00915059"/>
    <w:rsid w:val="00915538"/>
    <w:rsid w:val="009157B0"/>
    <w:rsid w:val="0091589D"/>
    <w:rsid w:val="009164FF"/>
    <w:rsid w:val="00916BCE"/>
    <w:rsid w:val="00916C1B"/>
    <w:rsid w:val="00916EAA"/>
    <w:rsid w:val="00916EAC"/>
    <w:rsid w:val="0092108A"/>
    <w:rsid w:val="00921BEC"/>
    <w:rsid w:val="0092305F"/>
    <w:rsid w:val="00923D52"/>
    <w:rsid w:val="00923FB1"/>
    <w:rsid w:val="0092446A"/>
    <w:rsid w:val="00924EF2"/>
    <w:rsid w:val="00925147"/>
    <w:rsid w:val="00925D1A"/>
    <w:rsid w:val="0092630F"/>
    <w:rsid w:val="00927023"/>
    <w:rsid w:val="009311AC"/>
    <w:rsid w:val="00932A8C"/>
    <w:rsid w:val="00934265"/>
    <w:rsid w:val="009352F2"/>
    <w:rsid w:val="00936097"/>
    <w:rsid w:val="00936B0C"/>
    <w:rsid w:val="00937B3B"/>
    <w:rsid w:val="00941984"/>
    <w:rsid w:val="009421AA"/>
    <w:rsid w:val="0094411B"/>
    <w:rsid w:val="00944662"/>
    <w:rsid w:val="00945335"/>
    <w:rsid w:val="0094569B"/>
    <w:rsid w:val="00945CE4"/>
    <w:rsid w:val="009505C7"/>
    <w:rsid w:val="009508FD"/>
    <w:rsid w:val="00950DB5"/>
    <w:rsid w:val="00951495"/>
    <w:rsid w:val="009516FF"/>
    <w:rsid w:val="0095236B"/>
    <w:rsid w:val="0095287E"/>
    <w:rsid w:val="00952EBA"/>
    <w:rsid w:val="00955701"/>
    <w:rsid w:val="00955CD3"/>
    <w:rsid w:val="00956D5B"/>
    <w:rsid w:val="00957260"/>
    <w:rsid w:val="0095727E"/>
    <w:rsid w:val="0095730B"/>
    <w:rsid w:val="00960D4D"/>
    <w:rsid w:val="00964292"/>
    <w:rsid w:val="00964729"/>
    <w:rsid w:val="00964E91"/>
    <w:rsid w:val="009662EB"/>
    <w:rsid w:val="00967123"/>
    <w:rsid w:val="0097069F"/>
    <w:rsid w:val="00970A07"/>
    <w:rsid w:val="009725E1"/>
    <w:rsid w:val="00973D20"/>
    <w:rsid w:val="009749C3"/>
    <w:rsid w:val="0097509C"/>
    <w:rsid w:val="009756AC"/>
    <w:rsid w:val="00977240"/>
    <w:rsid w:val="009777F4"/>
    <w:rsid w:val="00977A41"/>
    <w:rsid w:val="00977F12"/>
    <w:rsid w:val="00980A43"/>
    <w:rsid w:val="009815A1"/>
    <w:rsid w:val="00982725"/>
    <w:rsid w:val="00983252"/>
    <w:rsid w:val="0098417D"/>
    <w:rsid w:val="00986FF9"/>
    <w:rsid w:val="00987192"/>
    <w:rsid w:val="00987246"/>
    <w:rsid w:val="00987849"/>
    <w:rsid w:val="009902E3"/>
    <w:rsid w:val="00993D0D"/>
    <w:rsid w:val="009941A0"/>
    <w:rsid w:val="00994631"/>
    <w:rsid w:val="009954C8"/>
    <w:rsid w:val="009A2CEB"/>
    <w:rsid w:val="009A3015"/>
    <w:rsid w:val="009A33D5"/>
    <w:rsid w:val="009A347F"/>
    <w:rsid w:val="009A412F"/>
    <w:rsid w:val="009A446E"/>
    <w:rsid w:val="009A456F"/>
    <w:rsid w:val="009A6CE0"/>
    <w:rsid w:val="009A6DED"/>
    <w:rsid w:val="009B0259"/>
    <w:rsid w:val="009B0632"/>
    <w:rsid w:val="009B0B67"/>
    <w:rsid w:val="009B0C28"/>
    <w:rsid w:val="009B12E6"/>
    <w:rsid w:val="009B17C1"/>
    <w:rsid w:val="009B2920"/>
    <w:rsid w:val="009B2D91"/>
    <w:rsid w:val="009B396C"/>
    <w:rsid w:val="009B765F"/>
    <w:rsid w:val="009B77FA"/>
    <w:rsid w:val="009C0170"/>
    <w:rsid w:val="009C1347"/>
    <w:rsid w:val="009C1CD3"/>
    <w:rsid w:val="009C21B4"/>
    <w:rsid w:val="009C3322"/>
    <w:rsid w:val="009C343D"/>
    <w:rsid w:val="009C3D38"/>
    <w:rsid w:val="009C41F6"/>
    <w:rsid w:val="009C4651"/>
    <w:rsid w:val="009C4AE6"/>
    <w:rsid w:val="009C4BF1"/>
    <w:rsid w:val="009C4D9D"/>
    <w:rsid w:val="009C64B7"/>
    <w:rsid w:val="009C6B55"/>
    <w:rsid w:val="009C7C94"/>
    <w:rsid w:val="009D0C0E"/>
    <w:rsid w:val="009D20D7"/>
    <w:rsid w:val="009D3B04"/>
    <w:rsid w:val="009D3E82"/>
    <w:rsid w:val="009D6BAD"/>
    <w:rsid w:val="009E18CE"/>
    <w:rsid w:val="009E1962"/>
    <w:rsid w:val="009E19C0"/>
    <w:rsid w:val="009E2905"/>
    <w:rsid w:val="009E33E8"/>
    <w:rsid w:val="009E4279"/>
    <w:rsid w:val="009E4629"/>
    <w:rsid w:val="009E5D83"/>
    <w:rsid w:val="009E5F33"/>
    <w:rsid w:val="009E6F07"/>
    <w:rsid w:val="009F2EF8"/>
    <w:rsid w:val="009F3028"/>
    <w:rsid w:val="009F43F8"/>
    <w:rsid w:val="009F45C7"/>
    <w:rsid w:val="009F47DE"/>
    <w:rsid w:val="00A00B08"/>
    <w:rsid w:val="00A02E07"/>
    <w:rsid w:val="00A02F9F"/>
    <w:rsid w:val="00A03D7D"/>
    <w:rsid w:val="00A0528C"/>
    <w:rsid w:val="00A053BC"/>
    <w:rsid w:val="00A07CA9"/>
    <w:rsid w:val="00A10F91"/>
    <w:rsid w:val="00A11300"/>
    <w:rsid w:val="00A11B99"/>
    <w:rsid w:val="00A12A7F"/>
    <w:rsid w:val="00A13117"/>
    <w:rsid w:val="00A14CF3"/>
    <w:rsid w:val="00A14E83"/>
    <w:rsid w:val="00A163C6"/>
    <w:rsid w:val="00A17084"/>
    <w:rsid w:val="00A172A8"/>
    <w:rsid w:val="00A17CCF"/>
    <w:rsid w:val="00A20861"/>
    <w:rsid w:val="00A20D77"/>
    <w:rsid w:val="00A220B6"/>
    <w:rsid w:val="00A233A1"/>
    <w:rsid w:val="00A23B1D"/>
    <w:rsid w:val="00A24B51"/>
    <w:rsid w:val="00A25696"/>
    <w:rsid w:val="00A25EE0"/>
    <w:rsid w:val="00A26488"/>
    <w:rsid w:val="00A26540"/>
    <w:rsid w:val="00A26EB8"/>
    <w:rsid w:val="00A272F9"/>
    <w:rsid w:val="00A274DC"/>
    <w:rsid w:val="00A31F6E"/>
    <w:rsid w:val="00A3314A"/>
    <w:rsid w:val="00A33D06"/>
    <w:rsid w:val="00A3514A"/>
    <w:rsid w:val="00A3592F"/>
    <w:rsid w:val="00A368BF"/>
    <w:rsid w:val="00A36B66"/>
    <w:rsid w:val="00A37F5C"/>
    <w:rsid w:val="00A41914"/>
    <w:rsid w:val="00A4202F"/>
    <w:rsid w:val="00A421AA"/>
    <w:rsid w:val="00A42FC6"/>
    <w:rsid w:val="00A43291"/>
    <w:rsid w:val="00A43560"/>
    <w:rsid w:val="00A43E72"/>
    <w:rsid w:val="00A43EC1"/>
    <w:rsid w:val="00A43F85"/>
    <w:rsid w:val="00A44C5A"/>
    <w:rsid w:val="00A45873"/>
    <w:rsid w:val="00A459FE"/>
    <w:rsid w:val="00A4607E"/>
    <w:rsid w:val="00A47CA7"/>
    <w:rsid w:val="00A506D2"/>
    <w:rsid w:val="00A522CB"/>
    <w:rsid w:val="00A52609"/>
    <w:rsid w:val="00A52F47"/>
    <w:rsid w:val="00A533FA"/>
    <w:rsid w:val="00A5360C"/>
    <w:rsid w:val="00A552A0"/>
    <w:rsid w:val="00A574B3"/>
    <w:rsid w:val="00A5791C"/>
    <w:rsid w:val="00A60083"/>
    <w:rsid w:val="00A6143D"/>
    <w:rsid w:val="00A6160D"/>
    <w:rsid w:val="00A62AE7"/>
    <w:rsid w:val="00A62CC9"/>
    <w:rsid w:val="00A62F44"/>
    <w:rsid w:val="00A636EC"/>
    <w:rsid w:val="00A63B83"/>
    <w:rsid w:val="00A65BC7"/>
    <w:rsid w:val="00A65FF1"/>
    <w:rsid w:val="00A665B1"/>
    <w:rsid w:val="00A6745A"/>
    <w:rsid w:val="00A67867"/>
    <w:rsid w:val="00A67990"/>
    <w:rsid w:val="00A67A60"/>
    <w:rsid w:val="00A67BA3"/>
    <w:rsid w:val="00A72635"/>
    <w:rsid w:val="00A72707"/>
    <w:rsid w:val="00A72883"/>
    <w:rsid w:val="00A74983"/>
    <w:rsid w:val="00A74AB3"/>
    <w:rsid w:val="00A77149"/>
    <w:rsid w:val="00A7735B"/>
    <w:rsid w:val="00A77874"/>
    <w:rsid w:val="00A77C15"/>
    <w:rsid w:val="00A80ADF"/>
    <w:rsid w:val="00A813D6"/>
    <w:rsid w:val="00A81496"/>
    <w:rsid w:val="00A81B58"/>
    <w:rsid w:val="00A827E7"/>
    <w:rsid w:val="00A828FD"/>
    <w:rsid w:val="00A83904"/>
    <w:rsid w:val="00A83C34"/>
    <w:rsid w:val="00A84C1A"/>
    <w:rsid w:val="00A85073"/>
    <w:rsid w:val="00A868C0"/>
    <w:rsid w:val="00A8692F"/>
    <w:rsid w:val="00A869F8"/>
    <w:rsid w:val="00A8706B"/>
    <w:rsid w:val="00A87466"/>
    <w:rsid w:val="00A91679"/>
    <w:rsid w:val="00A919D5"/>
    <w:rsid w:val="00A91E5B"/>
    <w:rsid w:val="00A935C5"/>
    <w:rsid w:val="00A9453E"/>
    <w:rsid w:val="00AA0EC9"/>
    <w:rsid w:val="00AA1AD3"/>
    <w:rsid w:val="00AA1C08"/>
    <w:rsid w:val="00AA212C"/>
    <w:rsid w:val="00AA3792"/>
    <w:rsid w:val="00AA4835"/>
    <w:rsid w:val="00AA5862"/>
    <w:rsid w:val="00AA6606"/>
    <w:rsid w:val="00AA7600"/>
    <w:rsid w:val="00AA7E42"/>
    <w:rsid w:val="00AB0858"/>
    <w:rsid w:val="00AB08F4"/>
    <w:rsid w:val="00AB1347"/>
    <w:rsid w:val="00AB1BE2"/>
    <w:rsid w:val="00AB1D47"/>
    <w:rsid w:val="00AB2287"/>
    <w:rsid w:val="00AB30F9"/>
    <w:rsid w:val="00AB35CE"/>
    <w:rsid w:val="00AB37EA"/>
    <w:rsid w:val="00AB5131"/>
    <w:rsid w:val="00AB52D9"/>
    <w:rsid w:val="00AB5E4B"/>
    <w:rsid w:val="00AB6888"/>
    <w:rsid w:val="00AB713E"/>
    <w:rsid w:val="00AB77CF"/>
    <w:rsid w:val="00AC0FAF"/>
    <w:rsid w:val="00AC1042"/>
    <w:rsid w:val="00AC23D0"/>
    <w:rsid w:val="00AC3164"/>
    <w:rsid w:val="00AC3342"/>
    <w:rsid w:val="00AC355C"/>
    <w:rsid w:val="00AC3F17"/>
    <w:rsid w:val="00AC5AD5"/>
    <w:rsid w:val="00AC67FB"/>
    <w:rsid w:val="00AD1F8E"/>
    <w:rsid w:val="00AD41C6"/>
    <w:rsid w:val="00AD4781"/>
    <w:rsid w:val="00AD49DE"/>
    <w:rsid w:val="00AD4EFA"/>
    <w:rsid w:val="00AD4FFF"/>
    <w:rsid w:val="00AD53B3"/>
    <w:rsid w:val="00AD59C2"/>
    <w:rsid w:val="00AD5D24"/>
    <w:rsid w:val="00AD63D8"/>
    <w:rsid w:val="00AD7408"/>
    <w:rsid w:val="00AE0856"/>
    <w:rsid w:val="00AE09E2"/>
    <w:rsid w:val="00AE11FB"/>
    <w:rsid w:val="00AE1B7D"/>
    <w:rsid w:val="00AE2D19"/>
    <w:rsid w:val="00AE2D58"/>
    <w:rsid w:val="00AE3528"/>
    <w:rsid w:val="00AE4A39"/>
    <w:rsid w:val="00AE4B3B"/>
    <w:rsid w:val="00AE5B83"/>
    <w:rsid w:val="00AE6822"/>
    <w:rsid w:val="00AE7C0C"/>
    <w:rsid w:val="00AF0323"/>
    <w:rsid w:val="00AF043F"/>
    <w:rsid w:val="00AF0D6C"/>
    <w:rsid w:val="00AF1CE8"/>
    <w:rsid w:val="00AF220F"/>
    <w:rsid w:val="00AF2497"/>
    <w:rsid w:val="00AF2BAE"/>
    <w:rsid w:val="00AF2CEB"/>
    <w:rsid w:val="00AF32C9"/>
    <w:rsid w:val="00AF3AE4"/>
    <w:rsid w:val="00AF4038"/>
    <w:rsid w:val="00AF538A"/>
    <w:rsid w:val="00AF6BDD"/>
    <w:rsid w:val="00AF6DDB"/>
    <w:rsid w:val="00AF7E8D"/>
    <w:rsid w:val="00B00E0D"/>
    <w:rsid w:val="00B024C1"/>
    <w:rsid w:val="00B0274D"/>
    <w:rsid w:val="00B02DF4"/>
    <w:rsid w:val="00B0385B"/>
    <w:rsid w:val="00B03B0B"/>
    <w:rsid w:val="00B047F1"/>
    <w:rsid w:val="00B05A0C"/>
    <w:rsid w:val="00B06347"/>
    <w:rsid w:val="00B07CAC"/>
    <w:rsid w:val="00B104C7"/>
    <w:rsid w:val="00B108F5"/>
    <w:rsid w:val="00B10F18"/>
    <w:rsid w:val="00B11552"/>
    <w:rsid w:val="00B119C4"/>
    <w:rsid w:val="00B11AC3"/>
    <w:rsid w:val="00B11EFF"/>
    <w:rsid w:val="00B12284"/>
    <w:rsid w:val="00B12C6A"/>
    <w:rsid w:val="00B13804"/>
    <w:rsid w:val="00B14799"/>
    <w:rsid w:val="00B14AC7"/>
    <w:rsid w:val="00B15414"/>
    <w:rsid w:val="00B166AD"/>
    <w:rsid w:val="00B2042A"/>
    <w:rsid w:val="00B211A2"/>
    <w:rsid w:val="00B218D8"/>
    <w:rsid w:val="00B21DD7"/>
    <w:rsid w:val="00B21E60"/>
    <w:rsid w:val="00B22725"/>
    <w:rsid w:val="00B22779"/>
    <w:rsid w:val="00B22A4D"/>
    <w:rsid w:val="00B2310C"/>
    <w:rsid w:val="00B2338E"/>
    <w:rsid w:val="00B23805"/>
    <w:rsid w:val="00B24439"/>
    <w:rsid w:val="00B248D4"/>
    <w:rsid w:val="00B257A8"/>
    <w:rsid w:val="00B2595E"/>
    <w:rsid w:val="00B25AD7"/>
    <w:rsid w:val="00B26478"/>
    <w:rsid w:val="00B3029B"/>
    <w:rsid w:val="00B30428"/>
    <w:rsid w:val="00B3071F"/>
    <w:rsid w:val="00B30BEF"/>
    <w:rsid w:val="00B32333"/>
    <w:rsid w:val="00B32D0A"/>
    <w:rsid w:val="00B343C3"/>
    <w:rsid w:val="00B34C3A"/>
    <w:rsid w:val="00B36443"/>
    <w:rsid w:val="00B41B84"/>
    <w:rsid w:val="00B42E50"/>
    <w:rsid w:val="00B438D7"/>
    <w:rsid w:val="00B43932"/>
    <w:rsid w:val="00B44052"/>
    <w:rsid w:val="00B44DDE"/>
    <w:rsid w:val="00B466E3"/>
    <w:rsid w:val="00B47320"/>
    <w:rsid w:val="00B47BD9"/>
    <w:rsid w:val="00B5119B"/>
    <w:rsid w:val="00B511BC"/>
    <w:rsid w:val="00B51EA2"/>
    <w:rsid w:val="00B521E0"/>
    <w:rsid w:val="00B52CE1"/>
    <w:rsid w:val="00B542CB"/>
    <w:rsid w:val="00B54763"/>
    <w:rsid w:val="00B56952"/>
    <w:rsid w:val="00B56A9A"/>
    <w:rsid w:val="00B56AD8"/>
    <w:rsid w:val="00B573CF"/>
    <w:rsid w:val="00B576F0"/>
    <w:rsid w:val="00B60366"/>
    <w:rsid w:val="00B61226"/>
    <w:rsid w:val="00B61422"/>
    <w:rsid w:val="00B61A4A"/>
    <w:rsid w:val="00B620C4"/>
    <w:rsid w:val="00B64170"/>
    <w:rsid w:val="00B65783"/>
    <w:rsid w:val="00B65D10"/>
    <w:rsid w:val="00B66951"/>
    <w:rsid w:val="00B67235"/>
    <w:rsid w:val="00B679E4"/>
    <w:rsid w:val="00B70665"/>
    <w:rsid w:val="00B708BC"/>
    <w:rsid w:val="00B724C4"/>
    <w:rsid w:val="00B724E3"/>
    <w:rsid w:val="00B72588"/>
    <w:rsid w:val="00B725B0"/>
    <w:rsid w:val="00B72AFA"/>
    <w:rsid w:val="00B72CCC"/>
    <w:rsid w:val="00B72ED8"/>
    <w:rsid w:val="00B73198"/>
    <w:rsid w:val="00B7442F"/>
    <w:rsid w:val="00B74F32"/>
    <w:rsid w:val="00B7614E"/>
    <w:rsid w:val="00B769A0"/>
    <w:rsid w:val="00B76B10"/>
    <w:rsid w:val="00B76B1A"/>
    <w:rsid w:val="00B7742A"/>
    <w:rsid w:val="00B8125A"/>
    <w:rsid w:val="00B813CC"/>
    <w:rsid w:val="00B81884"/>
    <w:rsid w:val="00B823DD"/>
    <w:rsid w:val="00B825A0"/>
    <w:rsid w:val="00B82791"/>
    <w:rsid w:val="00B83485"/>
    <w:rsid w:val="00B839DC"/>
    <w:rsid w:val="00B849EA"/>
    <w:rsid w:val="00B84F5F"/>
    <w:rsid w:val="00B851F7"/>
    <w:rsid w:val="00B86896"/>
    <w:rsid w:val="00B87FDC"/>
    <w:rsid w:val="00B9072B"/>
    <w:rsid w:val="00B9074E"/>
    <w:rsid w:val="00B91C28"/>
    <w:rsid w:val="00B92BAE"/>
    <w:rsid w:val="00B9337F"/>
    <w:rsid w:val="00B95376"/>
    <w:rsid w:val="00B963F5"/>
    <w:rsid w:val="00B96FAB"/>
    <w:rsid w:val="00B979FC"/>
    <w:rsid w:val="00BA095D"/>
    <w:rsid w:val="00BA1AF5"/>
    <w:rsid w:val="00BA1D96"/>
    <w:rsid w:val="00BA4C21"/>
    <w:rsid w:val="00BA542A"/>
    <w:rsid w:val="00BA55C5"/>
    <w:rsid w:val="00BA570D"/>
    <w:rsid w:val="00BA6D37"/>
    <w:rsid w:val="00BA7653"/>
    <w:rsid w:val="00BA7DAF"/>
    <w:rsid w:val="00BB0883"/>
    <w:rsid w:val="00BB0897"/>
    <w:rsid w:val="00BB2E04"/>
    <w:rsid w:val="00BB3049"/>
    <w:rsid w:val="00BB3330"/>
    <w:rsid w:val="00BB3DC4"/>
    <w:rsid w:val="00BB40A7"/>
    <w:rsid w:val="00BB4BC3"/>
    <w:rsid w:val="00BB4CDD"/>
    <w:rsid w:val="00BB567E"/>
    <w:rsid w:val="00BB6104"/>
    <w:rsid w:val="00BB6261"/>
    <w:rsid w:val="00BB65D9"/>
    <w:rsid w:val="00BB6897"/>
    <w:rsid w:val="00BB6DC7"/>
    <w:rsid w:val="00BB73D3"/>
    <w:rsid w:val="00BC007A"/>
    <w:rsid w:val="00BC1664"/>
    <w:rsid w:val="00BC1B33"/>
    <w:rsid w:val="00BC2999"/>
    <w:rsid w:val="00BC31EA"/>
    <w:rsid w:val="00BC3FF3"/>
    <w:rsid w:val="00BC4C08"/>
    <w:rsid w:val="00BC4F4D"/>
    <w:rsid w:val="00BC521C"/>
    <w:rsid w:val="00BC5305"/>
    <w:rsid w:val="00BC5AA9"/>
    <w:rsid w:val="00BC6E34"/>
    <w:rsid w:val="00BC6E85"/>
    <w:rsid w:val="00BD016F"/>
    <w:rsid w:val="00BD03F4"/>
    <w:rsid w:val="00BD0AB5"/>
    <w:rsid w:val="00BD0BE5"/>
    <w:rsid w:val="00BD1704"/>
    <w:rsid w:val="00BD2429"/>
    <w:rsid w:val="00BD2BB6"/>
    <w:rsid w:val="00BD3463"/>
    <w:rsid w:val="00BD39CA"/>
    <w:rsid w:val="00BD4B3B"/>
    <w:rsid w:val="00BD4C7F"/>
    <w:rsid w:val="00BD5D0C"/>
    <w:rsid w:val="00BD620D"/>
    <w:rsid w:val="00BE0BD8"/>
    <w:rsid w:val="00BE1E25"/>
    <w:rsid w:val="00BE2E84"/>
    <w:rsid w:val="00BE31A2"/>
    <w:rsid w:val="00BE3F7D"/>
    <w:rsid w:val="00BE43E8"/>
    <w:rsid w:val="00BE5ADE"/>
    <w:rsid w:val="00BE7519"/>
    <w:rsid w:val="00BE7733"/>
    <w:rsid w:val="00BF1D77"/>
    <w:rsid w:val="00BF2144"/>
    <w:rsid w:val="00BF2447"/>
    <w:rsid w:val="00BF24FA"/>
    <w:rsid w:val="00BF4744"/>
    <w:rsid w:val="00C0171D"/>
    <w:rsid w:val="00C027C3"/>
    <w:rsid w:val="00C048D9"/>
    <w:rsid w:val="00C049B6"/>
    <w:rsid w:val="00C0601E"/>
    <w:rsid w:val="00C06162"/>
    <w:rsid w:val="00C068A1"/>
    <w:rsid w:val="00C076C0"/>
    <w:rsid w:val="00C0771E"/>
    <w:rsid w:val="00C07F6C"/>
    <w:rsid w:val="00C11C03"/>
    <w:rsid w:val="00C11C25"/>
    <w:rsid w:val="00C12E8A"/>
    <w:rsid w:val="00C131AD"/>
    <w:rsid w:val="00C14B16"/>
    <w:rsid w:val="00C14BEA"/>
    <w:rsid w:val="00C1571B"/>
    <w:rsid w:val="00C17D36"/>
    <w:rsid w:val="00C20347"/>
    <w:rsid w:val="00C208FB"/>
    <w:rsid w:val="00C20A9C"/>
    <w:rsid w:val="00C21B71"/>
    <w:rsid w:val="00C22243"/>
    <w:rsid w:val="00C224C4"/>
    <w:rsid w:val="00C22FCE"/>
    <w:rsid w:val="00C2334B"/>
    <w:rsid w:val="00C2401B"/>
    <w:rsid w:val="00C2432D"/>
    <w:rsid w:val="00C2535E"/>
    <w:rsid w:val="00C2583E"/>
    <w:rsid w:val="00C2610B"/>
    <w:rsid w:val="00C26677"/>
    <w:rsid w:val="00C26A1D"/>
    <w:rsid w:val="00C27480"/>
    <w:rsid w:val="00C30688"/>
    <w:rsid w:val="00C307ED"/>
    <w:rsid w:val="00C30A81"/>
    <w:rsid w:val="00C315C7"/>
    <w:rsid w:val="00C337BB"/>
    <w:rsid w:val="00C342FB"/>
    <w:rsid w:val="00C354A9"/>
    <w:rsid w:val="00C36094"/>
    <w:rsid w:val="00C36284"/>
    <w:rsid w:val="00C36DE3"/>
    <w:rsid w:val="00C40F17"/>
    <w:rsid w:val="00C41EC6"/>
    <w:rsid w:val="00C42311"/>
    <w:rsid w:val="00C4257D"/>
    <w:rsid w:val="00C42F84"/>
    <w:rsid w:val="00C43885"/>
    <w:rsid w:val="00C438AB"/>
    <w:rsid w:val="00C43BEC"/>
    <w:rsid w:val="00C44687"/>
    <w:rsid w:val="00C457CB"/>
    <w:rsid w:val="00C46566"/>
    <w:rsid w:val="00C50668"/>
    <w:rsid w:val="00C51989"/>
    <w:rsid w:val="00C51F03"/>
    <w:rsid w:val="00C528C0"/>
    <w:rsid w:val="00C54DBD"/>
    <w:rsid w:val="00C54DC0"/>
    <w:rsid w:val="00C5568D"/>
    <w:rsid w:val="00C55BA1"/>
    <w:rsid w:val="00C56799"/>
    <w:rsid w:val="00C56A3B"/>
    <w:rsid w:val="00C56BEC"/>
    <w:rsid w:val="00C57295"/>
    <w:rsid w:val="00C5771D"/>
    <w:rsid w:val="00C577D9"/>
    <w:rsid w:val="00C57F94"/>
    <w:rsid w:val="00C6109D"/>
    <w:rsid w:val="00C61442"/>
    <w:rsid w:val="00C616D4"/>
    <w:rsid w:val="00C61EF2"/>
    <w:rsid w:val="00C628B0"/>
    <w:rsid w:val="00C64285"/>
    <w:rsid w:val="00C64682"/>
    <w:rsid w:val="00C65499"/>
    <w:rsid w:val="00C679AE"/>
    <w:rsid w:val="00C67CE0"/>
    <w:rsid w:val="00C70E24"/>
    <w:rsid w:val="00C70E47"/>
    <w:rsid w:val="00C71347"/>
    <w:rsid w:val="00C73218"/>
    <w:rsid w:val="00C76CF7"/>
    <w:rsid w:val="00C778C6"/>
    <w:rsid w:val="00C77FBE"/>
    <w:rsid w:val="00C80EF0"/>
    <w:rsid w:val="00C82382"/>
    <w:rsid w:val="00C8262B"/>
    <w:rsid w:val="00C83501"/>
    <w:rsid w:val="00C8352B"/>
    <w:rsid w:val="00C84747"/>
    <w:rsid w:val="00C84AC0"/>
    <w:rsid w:val="00C84B01"/>
    <w:rsid w:val="00C84F35"/>
    <w:rsid w:val="00C84FC8"/>
    <w:rsid w:val="00C8540D"/>
    <w:rsid w:val="00C90A36"/>
    <w:rsid w:val="00C910FD"/>
    <w:rsid w:val="00C92D2C"/>
    <w:rsid w:val="00C93C16"/>
    <w:rsid w:val="00C93D42"/>
    <w:rsid w:val="00C93D58"/>
    <w:rsid w:val="00C957E4"/>
    <w:rsid w:val="00C9581B"/>
    <w:rsid w:val="00C95B02"/>
    <w:rsid w:val="00CA1461"/>
    <w:rsid w:val="00CA17AB"/>
    <w:rsid w:val="00CA22E9"/>
    <w:rsid w:val="00CA27EA"/>
    <w:rsid w:val="00CA4CA1"/>
    <w:rsid w:val="00CA5BFA"/>
    <w:rsid w:val="00CA6F80"/>
    <w:rsid w:val="00CA709F"/>
    <w:rsid w:val="00CA7D91"/>
    <w:rsid w:val="00CB1752"/>
    <w:rsid w:val="00CB1BA5"/>
    <w:rsid w:val="00CB20C9"/>
    <w:rsid w:val="00CB22C3"/>
    <w:rsid w:val="00CB2C2C"/>
    <w:rsid w:val="00CB3089"/>
    <w:rsid w:val="00CB3183"/>
    <w:rsid w:val="00CB389F"/>
    <w:rsid w:val="00CB5BA5"/>
    <w:rsid w:val="00CB6530"/>
    <w:rsid w:val="00CB66AF"/>
    <w:rsid w:val="00CB67DF"/>
    <w:rsid w:val="00CB7642"/>
    <w:rsid w:val="00CB7B57"/>
    <w:rsid w:val="00CC0921"/>
    <w:rsid w:val="00CC0A83"/>
    <w:rsid w:val="00CC1869"/>
    <w:rsid w:val="00CC1CCF"/>
    <w:rsid w:val="00CC2B17"/>
    <w:rsid w:val="00CC360B"/>
    <w:rsid w:val="00CC5479"/>
    <w:rsid w:val="00CC6069"/>
    <w:rsid w:val="00CC654A"/>
    <w:rsid w:val="00CC703C"/>
    <w:rsid w:val="00CC74FC"/>
    <w:rsid w:val="00CC7731"/>
    <w:rsid w:val="00CC7F31"/>
    <w:rsid w:val="00CD1D2A"/>
    <w:rsid w:val="00CD1DFE"/>
    <w:rsid w:val="00CD2E53"/>
    <w:rsid w:val="00CD3384"/>
    <w:rsid w:val="00CD4EF5"/>
    <w:rsid w:val="00CD769D"/>
    <w:rsid w:val="00CE0E7A"/>
    <w:rsid w:val="00CE1AC8"/>
    <w:rsid w:val="00CE1B87"/>
    <w:rsid w:val="00CE24FC"/>
    <w:rsid w:val="00CE25FA"/>
    <w:rsid w:val="00CE2B0D"/>
    <w:rsid w:val="00CE341B"/>
    <w:rsid w:val="00CE3566"/>
    <w:rsid w:val="00CE3D75"/>
    <w:rsid w:val="00CE663E"/>
    <w:rsid w:val="00CE739F"/>
    <w:rsid w:val="00CE79E6"/>
    <w:rsid w:val="00CE7BC4"/>
    <w:rsid w:val="00CF0597"/>
    <w:rsid w:val="00CF0707"/>
    <w:rsid w:val="00CF0E16"/>
    <w:rsid w:val="00CF1035"/>
    <w:rsid w:val="00CF1089"/>
    <w:rsid w:val="00CF1D11"/>
    <w:rsid w:val="00CF2028"/>
    <w:rsid w:val="00CF2897"/>
    <w:rsid w:val="00CF4B8F"/>
    <w:rsid w:val="00CF4C23"/>
    <w:rsid w:val="00CF57E2"/>
    <w:rsid w:val="00CF5E5E"/>
    <w:rsid w:val="00CF6214"/>
    <w:rsid w:val="00CF629F"/>
    <w:rsid w:val="00CF6E5E"/>
    <w:rsid w:val="00D01E0A"/>
    <w:rsid w:val="00D026D3"/>
    <w:rsid w:val="00D02917"/>
    <w:rsid w:val="00D03596"/>
    <w:rsid w:val="00D035A2"/>
    <w:rsid w:val="00D0467E"/>
    <w:rsid w:val="00D04922"/>
    <w:rsid w:val="00D04E17"/>
    <w:rsid w:val="00D058F4"/>
    <w:rsid w:val="00D05A1C"/>
    <w:rsid w:val="00D072F0"/>
    <w:rsid w:val="00D112E6"/>
    <w:rsid w:val="00D11477"/>
    <w:rsid w:val="00D11A24"/>
    <w:rsid w:val="00D11B12"/>
    <w:rsid w:val="00D120FA"/>
    <w:rsid w:val="00D125B8"/>
    <w:rsid w:val="00D12843"/>
    <w:rsid w:val="00D12C14"/>
    <w:rsid w:val="00D12EE3"/>
    <w:rsid w:val="00D12EEB"/>
    <w:rsid w:val="00D14ECD"/>
    <w:rsid w:val="00D16CBA"/>
    <w:rsid w:val="00D16E1C"/>
    <w:rsid w:val="00D173EE"/>
    <w:rsid w:val="00D1742E"/>
    <w:rsid w:val="00D17A71"/>
    <w:rsid w:val="00D20081"/>
    <w:rsid w:val="00D214A7"/>
    <w:rsid w:val="00D21A00"/>
    <w:rsid w:val="00D21BEB"/>
    <w:rsid w:val="00D22D59"/>
    <w:rsid w:val="00D230D9"/>
    <w:rsid w:val="00D2366C"/>
    <w:rsid w:val="00D23C99"/>
    <w:rsid w:val="00D258E6"/>
    <w:rsid w:val="00D27878"/>
    <w:rsid w:val="00D30B6E"/>
    <w:rsid w:val="00D33757"/>
    <w:rsid w:val="00D33BA3"/>
    <w:rsid w:val="00D33C7E"/>
    <w:rsid w:val="00D34037"/>
    <w:rsid w:val="00D34C3A"/>
    <w:rsid w:val="00D352F1"/>
    <w:rsid w:val="00D35BCF"/>
    <w:rsid w:val="00D362A5"/>
    <w:rsid w:val="00D36401"/>
    <w:rsid w:val="00D36D6F"/>
    <w:rsid w:val="00D41EEC"/>
    <w:rsid w:val="00D42BF8"/>
    <w:rsid w:val="00D4384C"/>
    <w:rsid w:val="00D440D4"/>
    <w:rsid w:val="00D44AE8"/>
    <w:rsid w:val="00D44F57"/>
    <w:rsid w:val="00D451A6"/>
    <w:rsid w:val="00D4766A"/>
    <w:rsid w:val="00D47C65"/>
    <w:rsid w:val="00D500E9"/>
    <w:rsid w:val="00D51542"/>
    <w:rsid w:val="00D51C4C"/>
    <w:rsid w:val="00D52D79"/>
    <w:rsid w:val="00D52D8C"/>
    <w:rsid w:val="00D546C2"/>
    <w:rsid w:val="00D54CCE"/>
    <w:rsid w:val="00D54FFA"/>
    <w:rsid w:val="00D55061"/>
    <w:rsid w:val="00D559DD"/>
    <w:rsid w:val="00D5600D"/>
    <w:rsid w:val="00D5678A"/>
    <w:rsid w:val="00D568D7"/>
    <w:rsid w:val="00D56B99"/>
    <w:rsid w:val="00D604CB"/>
    <w:rsid w:val="00D60963"/>
    <w:rsid w:val="00D61CC9"/>
    <w:rsid w:val="00D633CC"/>
    <w:rsid w:val="00D6398C"/>
    <w:rsid w:val="00D658CC"/>
    <w:rsid w:val="00D6757D"/>
    <w:rsid w:val="00D67A98"/>
    <w:rsid w:val="00D67E47"/>
    <w:rsid w:val="00D70469"/>
    <w:rsid w:val="00D709CF"/>
    <w:rsid w:val="00D70CE0"/>
    <w:rsid w:val="00D710A9"/>
    <w:rsid w:val="00D71145"/>
    <w:rsid w:val="00D722AD"/>
    <w:rsid w:val="00D72377"/>
    <w:rsid w:val="00D72A39"/>
    <w:rsid w:val="00D72FA5"/>
    <w:rsid w:val="00D73B4D"/>
    <w:rsid w:val="00D74223"/>
    <w:rsid w:val="00D74793"/>
    <w:rsid w:val="00D767F0"/>
    <w:rsid w:val="00D76F43"/>
    <w:rsid w:val="00D7702A"/>
    <w:rsid w:val="00D81D68"/>
    <w:rsid w:val="00D829C6"/>
    <w:rsid w:val="00D82AF0"/>
    <w:rsid w:val="00D83465"/>
    <w:rsid w:val="00D83E80"/>
    <w:rsid w:val="00D868BC"/>
    <w:rsid w:val="00D87513"/>
    <w:rsid w:val="00D903C5"/>
    <w:rsid w:val="00D90714"/>
    <w:rsid w:val="00D90ED4"/>
    <w:rsid w:val="00D9188C"/>
    <w:rsid w:val="00D9197F"/>
    <w:rsid w:val="00D91E91"/>
    <w:rsid w:val="00D92AAD"/>
    <w:rsid w:val="00D92AB7"/>
    <w:rsid w:val="00D93F79"/>
    <w:rsid w:val="00D948F8"/>
    <w:rsid w:val="00D9619D"/>
    <w:rsid w:val="00D971DC"/>
    <w:rsid w:val="00DA06B5"/>
    <w:rsid w:val="00DA07F0"/>
    <w:rsid w:val="00DA2AE4"/>
    <w:rsid w:val="00DA2D31"/>
    <w:rsid w:val="00DA45FD"/>
    <w:rsid w:val="00DA4E60"/>
    <w:rsid w:val="00DA7498"/>
    <w:rsid w:val="00DA7959"/>
    <w:rsid w:val="00DB0274"/>
    <w:rsid w:val="00DB0756"/>
    <w:rsid w:val="00DB1B9F"/>
    <w:rsid w:val="00DB2AAB"/>
    <w:rsid w:val="00DB2B5C"/>
    <w:rsid w:val="00DB5F62"/>
    <w:rsid w:val="00DB70E3"/>
    <w:rsid w:val="00DB755E"/>
    <w:rsid w:val="00DC01AF"/>
    <w:rsid w:val="00DC21C0"/>
    <w:rsid w:val="00DC24BF"/>
    <w:rsid w:val="00DC2784"/>
    <w:rsid w:val="00DC2B5A"/>
    <w:rsid w:val="00DC30A3"/>
    <w:rsid w:val="00DC52EF"/>
    <w:rsid w:val="00DC5523"/>
    <w:rsid w:val="00DC606C"/>
    <w:rsid w:val="00DC645D"/>
    <w:rsid w:val="00DC7CE7"/>
    <w:rsid w:val="00DD17AE"/>
    <w:rsid w:val="00DD1A7A"/>
    <w:rsid w:val="00DD4360"/>
    <w:rsid w:val="00DD4488"/>
    <w:rsid w:val="00DD48D3"/>
    <w:rsid w:val="00DD49E4"/>
    <w:rsid w:val="00DD5630"/>
    <w:rsid w:val="00DD6AF2"/>
    <w:rsid w:val="00DD6E16"/>
    <w:rsid w:val="00DD7433"/>
    <w:rsid w:val="00DD7CD2"/>
    <w:rsid w:val="00DE0A6E"/>
    <w:rsid w:val="00DE165A"/>
    <w:rsid w:val="00DE17D8"/>
    <w:rsid w:val="00DE22CB"/>
    <w:rsid w:val="00DE38CE"/>
    <w:rsid w:val="00DE3E4F"/>
    <w:rsid w:val="00DE4B1D"/>
    <w:rsid w:val="00DE5F51"/>
    <w:rsid w:val="00DE79CA"/>
    <w:rsid w:val="00DF1447"/>
    <w:rsid w:val="00DF1D0A"/>
    <w:rsid w:val="00DF2A8D"/>
    <w:rsid w:val="00DF37F3"/>
    <w:rsid w:val="00DF442F"/>
    <w:rsid w:val="00DF4B8C"/>
    <w:rsid w:val="00DF502D"/>
    <w:rsid w:val="00DF615F"/>
    <w:rsid w:val="00DF6BA7"/>
    <w:rsid w:val="00DF6C1D"/>
    <w:rsid w:val="00DF7207"/>
    <w:rsid w:val="00DF72BB"/>
    <w:rsid w:val="00DF7873"/>
    <w:rsid w:val="00E00FFA"/>
    <w:rsid w:val="00E020B0"/>
    <w:rsid w:val="00E02593"/>
    <w:rsid w:val="00E02A87"/>
    <w:rsid w:val="00E041A9"/>
    <w:rsid w:val="00E045FE"/>
    <w:rsid w:val="00E04D3F"/>
    <w:rsid w:val="00E05D06"/>
    <w:rsid w:val="00E07192"/>
    <w:rsid w:val="00E10B56"/>
    <w:rsid w:val="00E124CB"/>
    <w:rsid w:val="00E129FE"/>
    <w:rsid w:val="00E13AC8"/>
    <w:rsid w:val="00E1572C"/>
    <w:rsid w:val="00E1676C"/>
    <w:rsid w:val="00E17101"/>
    <w:rsid w:val="00E175FC"/>
    <w:rsid w:val="00E20095"/>
    <w:rsid w:val="00E20D81"/>
    <w:rsid w:val="00E212F8"/>
    <w:rsid w:val="00E21768"/>
    <w:rsid w:val="00E219BB"/>
    <w:rsid w:val="00E220B6"/>
    <w:rsid w:val="00E229AB"/>
    <w:rsid w:val="00E2301E"/>
    <w:rsid w:val="00E230F1"/>
    <w:rsid w:val="00E23E91"/>
    <w:rsid w:val="00E23FA7"/>
    <w:rsid w:val="00E24524"/>
    <w:rsid w:val="00E24C4C"/>
    <w:rsid w:val="00E24ECA"/>
    <w:rsid w:val="00E25D70"/>
    <w:rsid w:val="00E26919"/>
    <w:rsid w:val="00E27D64"/>
    <w:rsid w:val="00E303B1"/>
    <w:rsid w:val="00E30A34"/>
    <w:rsid w:val="00E30DA2"/>
    <w:rsid w:val="00E31095"/>
    <w:rsid w:val="00E3112E"/>
    <w:rsid w:val="00E3139C"/>
    <w:rsid w:val="00E31460"/>
    <w:rsid w:val="00E31A1B"/>
    <w:rsid w:val="00E3368A"/>
    <w:rsid w:val="00E34236"/>
    <w:rsid w:val="00E34F75"/>
    <w:rsid w:val="00E35AFE"/>
    <w:rsid w:val="00E35E8B"/>
    <w:rsid w:val="00E36172"/>
    <w:rsid w:val="00E36A97"/>
    <w:rsid w:val="00E37098"/>
    <w:rsid w:val="00E37D00"/>
    <w:rsid w:val="00E4016A"/>
    <w:rsid w:val="00E40768"/>
    <w:rsid w:val="00E40CDF"/>
    <w:rsid w:val="00E42050"/>
    <w:rsid w:val="00E432DD"/>
    <w:rsid w:val="00E455B9"/>
    <w:rsid w:val="00E46296"/>
    <w:rsid w:val="00E46AB6"/>
    <w:rsid w:val="00E46E3E"/>
    <w:rsid w:val="00E50AA5"/>
    <w:rsid w:val="00E50DF6"/>
    <w:rsid w:val="00E5114D"/>
    <w:rsid w:val="00E52300"/>
    <w:rsid w:val="00E52C97"/>
    <w:rsid w:val="00E53B2C"/>
    <w:rsid w:val="00E53C1D"/>
    <w:rsid w:val="00E53C4D"/>
    <w:rsid w:val="00E54AF6"/>
    <w:rsid w:val="00E54F3E"/>
    <w:rsid w:val="00E54F60"/>
    <w:rsid w:val="00E57112"/>
    <w:rsid w:val="00E571EC"/>
    <w:rsid w:val="00E60554"/>
    <w:rsid w:val="00E61A41"/>
    <w:rsid w:val="00E61B65"/>
    <w:rsid w:val="00E635ED"/>
    <w:rsid w:val="00E63CEA"/>
    <w:rsid w:val="00E641ED"/>
    <w:rsid w:val="00E644AB"/>
    <w:rsid w:val="00E64EE2"/>
    <w:rsid w:val="00E657EB"/>
    <w:rsid w:val="00E66661"/>
    <w:rsid w:val="00E6695C"/>
    <w:rsid w:val="00E66ECB"/>
    <w:rsid w:val="00E6744F"/>
    <w:rsid w:val="00E67760"/>
    <w:rsid w:val="00E7033B"/>
    <w:rsid w:val="00E7067E"/>
    <w:rsid w:val="00E708E3"/>
    <w:rsid w:val="00E715E1"/>
    <w:rsid w:val="00E71B85"/>
    <w:rsid w:val="00E723EE"/>
    <w:rsid w:val="00E75990"/>
    <w:rsid w:val="00E76253"/>
    <w:rsid w:val="00E762D8"/>
    <w:rsid w:val="00E76AE7"/>
    <w:rsid w:val="00E76DE7"/>
    <w:rsid w:val="00E774D7"/>
    <w:rsid w:val="00E77808"/>
    <w:rsid w:val="00E800A7"/>
    <w:rsid w:val="00E81026"/>
    <w:rsid w:val="00E829F0"/>
    <w:rsid w:val="00E839D9"/>
    <w:rsid w:val="00E845EA"/>
    <w:rsid w:val="00E84AB1"/>
    <w:rsid w:val="00E84ECE"/>
    <w:rsid w:val="00E85039"/>
    <w:rsid w:val="00E85150"/>
    <w:rsid w:val="00E855E4"/>
    <w:rsid w:val="00E8627B"/>
    <w:rsid w:val="00E8675F"/>
    <w:rsid w:val="00E87149"/>
    <w:rsid w:val="00E87532"/>
    <w:rsid w:val="00E87E2D"/>
    <w:rsid w:val="00E90741"/>
    <w:rsid w:val="00E9112D"/>
    <w:rsid w:val="00E929CD"/>
    <w:rsid w:val="00E9424B"/>
    <w:rsid w:val="00E96470"/>
    <w:rsid w:val="00E969D7"/>
    <w:rsid w:val="00EA034E"/>
    <w:rsid w:val="00EA0936"/>
    <w:rsid w:val="00EA0B35"/>
    <w:rsid w:val="00EA0CC4"/>
    <w:rsid w:val="00EA11CF"/>
    <w:rsid w:val="00EA1755"/>
    <w:rsid w:val="00EA1B82"/>
    <w:rsid w:val="00EA229B"/>
    <w:rsid w:val="00EA27C1"/>
    <w:rsid w:val="00EA4551"/>
    <w:rsid w:val="00EA464C"/>
    <w:rsid w:val="00EA4A8F"/>
    <w:rsid w:val="00EA5EDC"/>
    <w:rsid w:val="00EA6013"/>
    <w:rsid w:val="00EA756B"/>
    <w:rsid w:val="00EA7BCF"/>
    <w:rsid w:val="00EB00D9"/>
    <w:rsid w:val="00EB2E02"/>
    <w:rsid w:val="00EB4017"/>
    <w:rsid w:val="00EB42ED"/>
    <w:rsid w:val="00EB4694"/>
    <w:rsid w:val="00EB4733"/>
    <w:rsid w:val="00EB5DD6"/>
    <w:rsid w:val="00EB68F3"/>
    <w:rsid w:val="00EB6CD5"/>
    <w:rsid w:val="00EC049C"/>
    <w:rsid w:val="00EC07FA"/>
    <w:rsid w:val="00EC0AD4"/>
    <w:rsid w:val="00EC0CE1"/>
    <w:rsid w:val="00EC1BA0"/>
    <w:rsid w:val="00EC1D5B"/>
    <w:rsid w:val="00EC4551"/>
    <w:rsid w:val="00EC6506"/>
    <w:rsid w:val="00EC6FCE"/>
    <w:rsid w:val="00EC77AC"/>
    <w:rsid w:val="00EC78D3"/>
    <w:rsid w:val="00ED26F7"/>
    <w:rsid w:val="00ED2F2A"/>
    <w:rsid w:val="00ED3EB3"/>
    <w:rsid w:val="00ED426E"/>
    <w:rsid w:val="00ED43E1"/>
    <w:rsid w:val="00ED4E24"/>
    <w:rsid w:val="00ED6674"/>
    <w:rsid w:val="00ED7441"/>
    <w:rsid w:val="00ED75E3"/>
    <w:rsid w:val="00ED77A7"/>
    <w:rsid w:val="00EE012B"/>
    <w:rsid w:val="00EE03BB"/>
    <w:rsid w:val="00EE0C67"/>
    <w:rsid w:val="00EE1051"/>
    <w:rsid w:val="00EE1A51"/>
    <w:rsid w:val="00EE1CDD"/>
    <w:rsid w:val="00EE433C"/>
    <w:rsid w:val="00EE4614"/>
    <w:rsid w:val="00EE522C"/>
    <w:rsid w:val="00EE613D"/>
    <w:rsid w:val="00EE6E73"/>
    <w:rsid w:val="00EE71E4"/>
    <w:rsid w:val="00EE7414"/>
    <w:rsid w:val="00EE749A"/>
    <w:rsid w:val="00EF083C"/>
    <w:rsid w:val="00EF1590"/>
    <w:rsid w:val="00EF1EF3"/>
    <w:rsid w:val="00EF3189"/>
    <w:rsid w:val="00EF3C6B"/>
    <w:rsid w:val="00EF5120"/>
    <w:rsid w:val="00EF5EBE"/>
    <w:rsid w:val="00EF6B90"/>
    <w:rsid w:val="00F00DF2"/>
    <w:rsid w:val="00F00FD6"/>
    <w:rsid w:val="00F02148"/>
    <w:rsid w:val="00F02B23"/>
    <w:rsid w:val="00F03531"/>
    <w:rsid w:val="00F039D7"/>
    <w:rsid w:val="00F04A12"/>
    <w:rsid w:val="00F04B34"/>
    <w:rsid w:val="00F04D2B"/>
    <w:rsid w:val="00F05DD5"/>
    <w:rsid w:val="00F06595"/>
    <w:rsid w:val="00F06B3F"/>
    <w:rsid w:val="00F07D82"/>
    <w:rsid w:val="00F102D4"/>
    <w:rsid w:val="00F10D29"/>
    <w:rsid w:val="00F11FA4"/>
    <w:rsid w:val="00F1311B"/>
    <w:rsid w:val="00F13A4B"/>
    <w:rsid w:val="00F13EC3"/>
    <w:rsid w:val="00F1478E"/>
    <w:rsid w:val="00F14AB6"/>
    <w:rsid w:val="00F1596F"/>
    <w:rsid w:val="00F15E9E"/>
    <w:rsid w:val="00F16003"/>
    <w:rsid w:val="00F16B37"/>
    <w:rsid w:val="00F17213"/>
    <w:rsid w:val="00F17717"/>
    <w:rsid w:val="00F1798D"/>
    <w:rsid w:val="00F17FF4"/>
    <w:rsid w:val="00F21055"/>
    <w:rsid w:val="00F213AF"/>
    <w:rsid w:val="00F214E9"/>
    <w:rsid w:val="00F215FA"/>
    <w:rsid w:val="00F2253B"/>
    <w:rsid w:val="00F22920"/>
    <w:rsid w:val="00F237F9"/>
    <w:rsid w:val="00F24261"/>
    <w:rsid w:val="00F251AA"/>
    <w:rsid w:val="00F25684"/>
    <w:rsid w:val="00F25B31"/>
    <w:rsid w:val="00F3029B"/>
    <w:rsid w:val="00F30BA7"/>
    <w:rsid w:val="00F318A1"/>
    <w:rsid w:val="00F32FAB"/>
    <w:rsid w:val="00F33539"/>
    <w:rsid w:val="00F33BD3"/>
    <w:rsid w:val="00F33CF6"/>
    <w:rsid w:val="00F35260"/>
    <w:rsid w:val="00F3548F"/>
    <w:rsid w:val="00F3675B"/>
    <w:rsid w:val="00F37A8C"/>
    <w:rsid w:val="00F37DEC"/>
    <w:rsid w:val="00F4191D"/>
    <w:rsid w:val="00F427B1"/>
    <w:rsid w:val="00F4564E"/>
    <w:rsid w:val="00F469AA"/>
    <w:rsid w:val="00F50DF5"/>
    <w:rsid w:val="00F51D70"/>
    <w:rsid w:val="00F527B7"/>
    <w:rsid w:val="00F53999"/>
    <w:rsid w:val="00F54223"/>
    <w:rsid w:val="00F555BB"/>
    <w:rsid w:val="00F55AE2"/>
    <w:rsid w:val="00F55DE7"/>
    <w:rsid w:val="00F55E58"/>
    <w:rsid w:val="00F567AF"/>
    <w:rsid w:val="00F56E65"/>
    <w:rsid w:val="00F56FA8"/>
    <w:rsid w:val="00F5736D"/>
    <w:rsid w:val="00F57395"/>
    <w:rsid w:val="00F57415"/>
    <w:rsid w:val="00F6011A"/>
    <w:rsid w:val="00F61DE3"/>
    <w:rsid w:val="00F64C05"/>
    <w:rsid w:val="00F657F5"/>
    <w:rsid w:val="00F67B31"/>
    <w:rsid w:val="00F702D1"/>
    <w:rsid w:val="00F70809"/>
    <w:rsid w:val="00F71020"/>
    <w:rsid w:val="00F71602"/>
    <w:rsid w:val="00F727B3"/>
    <w:rsid w:val="00F733BA"/>
    <w:rsid w:val="00F73A8F"/>
    <w:rsid w:val="00F7401B"/>
    <w:rsid w:val="00F74A25"/>
    <w:rsid w:val="00F76392"/>
    <w:rsid w:val="00F7688E"/>
    <w:rsid w:val="00F76A5B"/>
    <w:rsid w:val="00F773EC"/>
    <w:rsid w:val="00F778BA"/>
    <w:rsid w:val="00F7797D"/>
    <w:rsid w:val="00F779F6"/>
    <w:rsid w:val="00F8087B"/>
    <w:rsid w:val="00F808DC"/>
    <w:rsid w:val="00F823D8"/>
    <w:rsid w:val="00F82C02"/>
    <w:rsid w:val="00F8317D"/>
    <w:rsid w:val="00F854CA"/>
    <w:rsid w:val="00F8596E"/>
    <w:rsid w:val="00F865BA"/>
    <w:rsid w:val="00F906E0"/>
    <w:rsid w:val="00F92E69"/>
    <w:rsid w:val="00F93E23"/>
    <w:rsid w:val="00F945E3"/>
    <w:rsid w:val="00F95558"/>
    <w:rsid w:val="00F9559C"/>
    <w:rsid w:val="00F96A11"/>
    <w:rsid w:val="00F97238"/>
    <w:rsid w:val="00F97666"/>
    <w:rsid w:val="00FA19BB"/>
    <w:rsid w:val="00FA2F7E"/>
    <w:rsid w:val="00FA3005"/>
    <w:rsid w:val="00FA3011"/>
    <w:rsid w:val="00FA3B4D"/>
    <w:rsid w:val="00FA4F73"/>
    <w:rsid w:val="00FA64DD"/>
    <w:rsid w:val="00FA6683"/>
    <w:rsid w:val="00FA73B6"/>
    <w:rsid w:val="00FA7E36"/>
    <w:rsid w:val="00FB1663"/>
    <w:rsid w:val="00FB2C4B"/>
    <w:rsid w:val="00FB685E"/>
    <w:rsid w:val="00FB779E"/>
    <w:rsid w:val="00FB7DA3"/>
    <w:rsid w:val="00FC2144"/>
    <w:rsid w:val="00FC26AD"/>
    <w:rsid w:val="00FC28C5"/>
    <w:rsid w:val="00FC2EC7"/>
    <w:rsid w:val="00FC3AF1"/>
    <w:rsid w:val="00FC4676"/>
    <w:rsid w:val="00FC57B3"/>
    <w:rsid w:val="00FC6AE2"/>
    <w:rsid w:val="00FD0342"/>
    <w:rsid w:val="00FD0C05"/>
    <w:rsid w:val="00FD0FEE"/>
    <w:rsid w:val="00FD2B19"/>
    <w:rsid w:val="00FD49A2"/>
    <w:rsid w:val="00FD4AC3"/>
    <w:rsid w:val="00FD750C"/>
    <w:rsid w:val="00FE06D5"/>
    <w:rsid w:val="00FE11D6"/>
    <w:rsid w:val="00FE19A5"/>
    <w:rsid w:val="00FE3F22"/>
    <w:rsid w:val="00FE4038"/>
    <w:rsid w:val="00FE6531"/>
    <w:rsid w:val="00FE6643"/>
    <w:rsid w:val="00FF0D37"/>
    <w:rsid w:val="00FF171C"/>
    <w:rsid w:val="00FF1918"/>
    <w:rsid w:val="00FF4113"/>
    <w:rsid w:val="00FF4D62"/>
    <w:rsid w:val="00FF598B"/>
    <w:rsid w:val="00FF60A9"/>
    <w:rsid w:val="00FF6845"/>
    <w:rsid w:val="00FF7029"/>
    <w:rsid w:val="00FF7C2F"/>
    <w:rsid w:val="00FF7ECC"/>
    <w:rsid w:val="40FE30EB"/>
    <w:rsid w:val="450A0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CD9AB8-7776-4D5C-B6DF-214C5CC54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qFormat/>
    <w:pPr>
      <w:keepNext/>
      <w:keepLines/>
      <w:widowControl w:val="0"/>
      <w:numPr>
        <w:numId w:val="1"/>
      </w:numPr>
      <w:spacing w:before="340" w:after="330" w:line="576" w:lineRule="auto"/>
      <w:jc w:val="both"/>
      <w:outlineLvl w:val="0"/>
    </w:pPr>
    <w:rPr>
      <w:rFonts w:ascii="黑体" w:eastAsia="黑体" w:hAnsi="黑体" w:cs="Times New Roman"/>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widowControl w:val="0"/>
      <w:spacing w:line="240" w:lineRule="auto"/>
      <w:jc w:val="center"/>
    </w:pPr>
    <w:rPr>
      <w:rFonts w:ascii="Arial Unicode MS" w:eastAsia="Arial Unicode MS" w:hAnsi="Arial Unicode MS" w:cs="Times New Roman"/>
      <w:b/>
      <w:bCs/>
      <w:kern w:val="2"/>
      <w:sz w:val="20"/>
      <w:szCs w:val="18"/>
    </w:rPr>
  </w:style>
  <w:style w:type="paragraph" w:styleId="a4">
    <w:name w:val="annotation text"/>
    <w:basedOn w:val="a"/>
    <w:link w:val="Char"/>
    <w:semiHidden/>
    <w:unhideWhenUsed/>
    <w:qFormat/>
  </w:style>
  <w:style w:type="paragraph" w:styleId="a5">
    <w:name w:val="Balloon Text"/>
    <w:basedOn w:val="a"/>
    <w:link w:val="Char0"/>
    <w:uiPriority w:val="99"/>
    <w:semiHidden/>
    <w:unhideWhenUsed/>
    <w:qFormat/>
    <w:pPr>
      <w:spacing w:after="0" w:line="240" w:lineRule="auto"/>
    </w:pPr>
    <w:rPr>
      <w:sz w:val="18"/>
      <w:szCs w:val="18"/>
    </w:rPr>
  </w:style>
  <w:style w:type="paragraph" w:styleId="a6">
    <w:name w:val="footer"/>
    <w:basedOn w:val="a"/>
    <w:link w:val="Char1"/>
    <w:uiPriority w:val="99"/>
    <w:unhideWhenUsed/>
    <w:qFormat/>
    <w:pPr>
      <w:tabs>
        <w:tab w:val="center" w:pos="4680"/>
        <w:tab w:val="right" w:pos="9360"/>
      </w:tabs>
      <w:spacing w:after="0" w:line="240" w:lineRule="auto"/>
    </w:pPr>
  </w:style>
  <w:style w:type="paragraph" w:styleId="a7">
    <w:name w:val="header"/>
    <w:basedOn w:val="a"/>
    <w:link w:val="Char2"/>
    <w:uiPriority w:val="99"/>
    <w:unhideWhenUsed/>
    <w:qFormat/>
    <w:pPr>
      <w:tabs>
        <w:tab w:val="center" w:pos="4680"/>
        <w:tab w:val="right" w:pos="9360"/>
      </w:tabs>
      <w:spacing w:after="0" w:line="240" w:lineRule="auto"/>
    </w:pPr>
  </w:style>
  <w:style w:type="paragraph" w:styleId="a8">
    <w:name w:val="footnote text"/>
    <w:basedOn w:val="a"/>
    <w:link w:val="Char3"/>
    <w:uiPriority w:val="99"/>
    <w:semiHidden/>
    <w:unhideWhenUsed/>
    <w:qFormat/>
    <w:pPr>
      <w:snapToGrid w:val="0"/>
    </w:pPr>
    <w:rPr>
      <w:sz w:val="18"/>
      <w:szCs w:val="18"/>
    </w:rPr>
  </w:style>
  <w:style w:type="paragraph" w:styleId="a9">
    <w:name w:val="annotation subject"/>
    <w:basedOn w:val="a4"/>
    <w:next w:val="a4"/>
    <w:link w:val="Char4"/>
    <w:uiPriority w:val="99"/>
    <w:semiHidden/>
    <w:unhideWhenUsed/>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qFormat/>
    <w:rPr>
      <w:color w:val="954F72"/>
      <w:u w:val="single"/>
    </w:rPr>
  </w:style>
  <w:style w:type="character" w:styleId="ac">
    <w:name w:val="Hyperlink"/>
    <w:basedOn w:val="a0"/>
    <w:uiPriority w:val="99"/>
    <w:unhideWhenUsed/>
    <w:qFormat/>
    <w:rPr>
      <w:color w:val="0000FF" w:themeColor="hyperlink"/>
      <w:u w:val="single"/>
    </w:rPr>
  </w:style>
  <w:style w:type="character" w:styleId="ad">
    <w:name w:val="annotation reference"/>
    <w:basedOn w:val="a0"/>
    <w:semiHidden/>
    <w:unhideWhenUsed/>
    <w:qFormat/>
    <w:rPr>
      <w:sz w:val="21"/>
      <w:szCs w:val="21"/>
    </w:rPr>
  </w:style>
  <w:style w:type="character" w:styleId="ae">
    <w:name w:val="footnote reference"/>
    <w:basedOn w:val="a0"/>
    <w:uiPriority w:val="99"/>
    <w:semiHidden/>
    <w:unhideWhenUsed/>
    <w:qFormat/>
    <w:rPr>
      <w:vertAlign w:val="superscript"/>
    </w:rPr>
  </w:style>
  <w:style w:type="character" w:customStyle="1" w:styleId="1Char">
    <w:name w:val="标题 1 Char"/>
    <w:basedOn w:val="a0"/>
    <w:link w:val="1"/>
    <w:rPr>
      <w:rFonts w:ascii="黑体" w:eastAsia="黑体" w:hAnsi="黑体" w:cs="Times New Roman"/>
      <w:b/>
      <w:bCs/>
      <w:kern w:val="44"/>
      <w:sz w:val="32"/>
      <w:szCs w:val="44"/>
    </w:rPr>
  </w:style>
  <w:style w:type="character" w:customStyle="1" w:styleId="Char2">
    <w:name w:val="页眉 Char"/>
    <w:basedOn w:val="a0"/>
    <w:link w:val="a7"/>
    <w:uiPriority w:val="99"/>
    <w:qFormat/>
  </w:style>
  <w:style w:type="character" w:customStyle="1" w:styleId="Char1">
    <w:name w:val="页脚 Char"/>
    <w:basedOn w:val="a0"/>
    <w:link w:val="a6"/>
    <w:uiPriority w:val="99"/>
    <w:qFormat/>
  </w:style>
  <w:style w:type="paragraph" w:styleId="af">
    <w:name w:val="List Paragraph"/>
    <w:basedOn w:val="a"/>
    <w:uiPriority w:val="34"/>
    <w:qFormat/>
    <w:pPr>
      <w:ind w:firstLineChars="200" w:firstLine="420"/>
    </w:pPr>
  </w:style>
  <w:style w:type="paragraph" w:customStyle="1" w:styleId="10">
    <w:name w:val="正文1"/>
    <w:basedOn w:val="a"/>
    <w:link w:val="1Char0"/>
    <w:qFormat/>
    <w:pPr>
      <w:spacing w:after="240" w:line="480" w:lineRule="exact"/>
      <w:ind w:firstLineChars="200" w:firstLine="200"/>
    </w:pPr>
    <w:rPr>
      <w:rFonts w:ascii="仿宋" w:eastAsia="仿宋" w:hAnsi="仿宋" w:cs="Times New Roman"/>
      <w:sz w:val="28"/>
      <w:szCs w:val="24"/>
    </w:rPr>
  </w:style>
  <w:style w:type="character" w:customStyle="1" w:styleId="1Char0">
    <w:name w:val="正文1 Char"/>
    <w:link w:val="10"/>
    <w:qFormat/>
    <w:rPr>
      <w:rFonts w:ascii="仿宋" w:eastAsia="仿宋" w:hAnsi="仿宋" w:cs="Times New Roman"/>
      <w:sz w:val="28"/>
      <w:szCs w:val="24"/>
    </w:rPr>
  </w:style>
  <w:style w:type="character" w:customStyle="1" w:styleId="Char0">
    <w:name w:val="批注框文本 Char"/>
    <w:basedOn w:val="a0"/>
    <w:link w:val="a5"/>
    <w:uiPriority w:val="99"/>
    <w:semiHidden/>
    <w:qFormat/>
    <w:rPr>
      <w:sz w:val="18"/>
      <w:szCs w:val="18"/>
    </w:rPr>
  </w:style>
  <w:style w:type="paragraph" w:customStyle="1" w:styleId="af0">
    <w:name w:val="正文内容"/>
    <w:basedOn w:val="a"/>
    <w:link w:val="Char5"/>
    <w:qFormat/>
    <w:pPr>
      <w:spacing w:afterLines="100"/>
      <w:ind w:firstLineChars="200" w:firstLine="640"/>
      <w:outlineLvl w:val="1"/>
    </w:pPr>
    <w:rPr>
      <w:rFonts w:ascii="仿宋_GB2312" w:eastAsia="仿宋_GB2312" w:hAnsi="黑体" w:cs="Arial"/>
      <w:sz w:val="32"/>
      <w:szCs w:val="32"/>
    </w:rPr>
  </w:style>
  <w:style w:type="character" w:customStyle="1" w:styleId="Char5">
    <w:name w:val="正文内容 Char"/>
    <w:basedOn w:val="a0"/>
    <w:link w:val="af0"/>
    <w:qFormat/>
    <w:rPr>
      <w:rFonts w:ascii="仿宋_GB2312" w:eastAsia="仿宋_GB2312" w:hAnsi="黑体" w:cs="Arial"/>
      <w:sz w:val="32"/>
      <w:szCs w:val="32"/>
    </w:rPr>
  </w:style>
  <w:style w:type="paragraph" w:customStyle="1" w:styleId="ab0">
    <w:name w:val="ab"/>
    <w:basedOn w:val="af0"/>
    <w:link w:val="abChar"/>
    <w:qFormat/>
    <w:pPr>
      <w:spacing w:line="360" w:lineRule="auto"/>
      <w:outlineLvl w:val="9"/>
    </w:pPr>
    <w:rPr>
      <w:rFonts w:ascii="Times New Roman" w:hAnsi="Times New Roman"/>
      <w:sz w:val="28"/>
    </w:rPr>
  </w:style>
  <w:style w:type="character" w:customStyle="1" w:styleId="abChar">
    <w:name w:val="ab Char"/>
    <w:basedOn w:val="Char5"/>
    <w:link w:val="ab0"/>
    <w:qFormat/>
    <w:rPr>
      <w:rFonts w:ascii="Times New Roman" w:eastAsia="仿宋_GB2312" w:hAnsi="Times New Roman" w:cs="Arial"/>
      <w:sz w:val="28"/>
      <w:szCs w:val="32"/>
    </w:rPr>
  </w:style>
  <w:style w:type="character" w:customStyle="1" w:styleId="Char">
    <w:name w:val="批注文字 Char"/>
    <w:basedOn w:val="a0"/>
    <w:link w:val="a4"/>
    <w:uiPriority w:val="99"/>
    <w:semiHidden/>
    <w:qFormat/>
  </w:style>
  <w:style w:type="character" w:customStyle="1" w:styleId="Char4">
    <w:name w:val="批注主题 Char"/>
    <w:basedOn w:val="Char"/>
    <w:link w:val="a9"/>
    <w:uiPriority w:val="99"/>
    <w:semiHidden/>
    <w:qFormat/>
    <w:rPr>
      <w:b/>
      <w:bCs/>
    </w:rPr>
  </w:style>
  <w:style w:type="paragraph" w:customStyle="1" w:styleId="11">
    <w:name w:val="修订1"/>
    <w:hidden/>
    <w:uiPriority w:val="99"/>
    <w:semiHidden/>
    <w:qFormat/>
    <w:rPr>
      <w:sz w:val="22"/>
      <w:szCs w:val="22"/>
    </w:rPr>
  </w:style>
  <w:style w:type="character" w:customStyle="1" w:styleId="Char3">
    <w:name w:val="脚注文本 Char"/>
    <w:basedOn w:val="a0"/>
    <w:link w:val="a8"/>
    <w:uiPriority w:val="99"/>
    <w:semiHidden/>
    <w:qFormat/>
    <w:rPr>
      <w:sz w:val="18"/>
      <w:szCs w:val="18"/>
    </w:rPr>
  </w:style>
  <w:style w:type="paragraph" w:customStyle="1" w:styleId="af1">
    <w:name w:val="一级标题"/>
    <w:basedOn w:val="af"/>
    <w:qFormat/>
    <w:pPr>
      <w:wordWrap w:val="0"/>
      <w:spacing w:after="0" w:line="360" w:lineRule="auto"/>
      <w:ind w:firstLine="560"/>
      <w:outlineLvl w:val="1"/>
    </w:pPr>
    <w:rPr>
      <w:rFonts w:ascii="Times New Roman" w:eastAsia="黑体" w:hAnsi="Times New Roman" w:cs="Times New Roman"/>
      <w:sz w:val="28"/>
      <w:szCs w:val="28"/>
    </w:rPr>
  </w:style>
  <w:style w:type="paragraph" w:customStyle="1" w:styleId="af2">
    <w:name w:val="二级标题"/>
    <w:basedOn w:val="a"/>
    <w:qFormat/>
    <w:pPr>
      <w:wordWrap w:val="0"/>
      <w:spacing w:after="0" w:line="360" w:lineRule="auto"/>
      <w:ind w:firstLineChars="200" w:firstLine="562"/>
      <w:outlineLvl w:val="2"/>
    </w:pPr>
    <w:rPr>
      <w:rFonts w:eastAsia="楷体_GB2312"/>
      <w:b/>
      <w:sz w:val="28"/>
      <w:szCs w:val="28"/>
    </w:rPr>
  </w:style>
  <w:style w:type="paragraph" w:customStyle="1" w:styleId="af3">
    <w:name w:val="三级标题"/>
    <w:basedOn w:val="ab0"/>
    <w:qFormat/>
    <w:pPr>
      <w:wordWrap w:val="0"/>
      <w:spacing w:afterLines="0"/>
      <w:ind w:firstLine="562"/>
      <w:outlineLvl w:val="3"/>
    </w:pPr>
    <w:rPr>
      <w:b/>
    </w:rPr>
  </w:style>
  <w:style w:type="paragraph" w:customStyle="1" w:styleId="af4">
    <w:name w:val="正文文档"/>
    <w:basedOn w:val="ab0"/>
    <w:qFormat/>
    <w:pPr>
      <w:wordWrap w:val="0"/>
      <w:spacing w:afterLines="0"/>
      <w:ind w:firstLine="560"/>
    </w:pPr>
  </w:style>
  <w:style w:type="paragraph" w:customStyle="1" w:styleId="af5">
    <w:name w:val="四级标题"/>
    <w:basedOn w:val="ab0"/>
    <w:qFormat/>
    <w:pPr>
      <w:wordWrap w:val="0"/>
      <w:spacing w:afterLines="0"/>
      <w:ind w:firstLine="560"/>
    </w:pPr>
  </w:style>
  <w:style w:type="paragraph" w:customStyle="1" w:styleId="af6">
    <w:name w:val="五级标题"/>
    <w:basedOn w:val="ab0"/>
    <w:qFormat/>
    <w:pPr>
      <w:wordWrap w:val="0"/>
      <w:spacing w:afterLines="0"/>
      <w:ind w:firstLine="560"/>
    </w:p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paragraph" w:customStyle="1" w:styleId="font5">
    <w:name w:val="font5"/>
    <w:basedOn w:val="a"/>
    <w:qFormat/>
    <w:pPr>
      <w:spacing w:before="100" w:beforeAutospacing="1" w:after="100" w:afterAutospacing="1" w:line="240" w:lineRule="auto"/>
    </w:pPr>
    <w:rPr>
      <w:rFonts w:ascii="Arial" w:eastAsia="宋体" w:hAnsi="Arial" w:cs="Arial"/>
      <w:sz w:val="18"/>
      <w:szCs w:val="18"/>
    </w:rPr>
  </w:style>
  <w:style w:type="paragraph" w:customStyle="1" w:styleId="xl65">
    <w:name w:val="xl65"/>
    <w:basedOn w:val="a"/>
    <w:qFormat/>
    <w:pPr>
      <w:spacing w:before="100" w:beforeAutospacing="1" w:after="100" w:afterAutospacing="1" w:line="240" w:lineRule="auto"/>
      <w:jc w:val="center"/>
    </w:pPr>
    <w:rPr>
      <w:rFonts w:ascii="宋体" w:eastAsia="宋体" w:hAnsi="宋体" w:cs="宋体"/>
      <w:sz w:val="24"/>
      <w:szCs w:val="24"/>
    </w:rPr>
  </w:style>
  <w:style w:type="paragraph" w:customStyle="1" w:styleId="xl66">
    <w:name w:val="xl66"/>
    <w:basedOn w:val="a"/>
    <w:qFormat/>
    <w:pPr>
      <w:spacing w:before="100" w:beforeAutospacing="1" w:after="100" w:afterAutospacing="1" w:line="240" w:lineRule="auto"/>
    </w:pPr>
    <w:rPr>
      <w:rFonts w:ascii="宋体" w:eastAsia="宋体" w:hAnsi="宋体" w:cs="宋体"/>
      <w:sz w:val="24"/>
      <w:szCs w:val="24"/>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24"/>
      <w:szCs w:val="24"/>
    </w:rPr>
  </w:style>
  <w:style w:type="paragraph" w:customStyle="1" w:styleId="xl68">
    <w:name w:val="xl6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69">
    <w:name w:val="xl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sz w:val="24"/>
      <w:szCs w:val="24"/>
    </w:rPr>
  </w:style>
  <w:style w:type="paragraph" w:customStyle="1" w:styleId="xl70">
    <w:name w:val="xl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C8F36E-FF3C-419A-950C-69F314FD1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4291813088</TotalTime>
  <Pages>21</Pages>
  <Words>1733</Words>
  <Characters>9884</Characters>
  <Application>Microsoft Office Word</Application>
  <DocSecurity>0</DocSecurity>
  <Lines>82</Lines>
  <Paragraphs>23</Paragraphs>
  <ScaleCrop>false</ScaleCrop>
  <Company>PricewaterhouseCoopers</Company>
  <LinksUpToDate>false</LinksUpToDate>
  <CharactersWithSpaces>11594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作者</dc:creator>
  <cp:lastModifiedBy>宦翔</cp:lastModifiedBy>
  <cp:revision>164</cp:revision>
  <cp:lastPrinted>2016-07-21T08:55:00Z</cp:lastPrinted>
  <dcterms:created xsi:type="dcterms:W3CDTF">2016-07-20T01:12:00Z</dcterms:created>
  <dcterms:modified xsi:type="dcterms:W3CDTF">2022-08-15T03:36:00Z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C6B6A3B18D6E4F1B8E2D2246EBA696E0</vt:lpwstr>
  </property>
</Properties>
</file>