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B1" w:rsidRPr="00D27DF1" w:rsidRDefault="00BC77B1" w:rsidP="00BC77B1">
      <w:pPr>
        <w:rPr>
          <w:rFonts w:ascii="仿宋" w:eastAsia="仿宋" w:hAnsi="仿宋"/>
          <w:b/>
          <w:sz w:val="28"/>
          <w:szCs w:val="28"/>
        </w:rPr>
      </w:pPr>
      <w:r w:rsidRPr="00D27DF1">
        <w:rPr>
          <w:rFonts w:ascii="仿宋" w:eastAsia="仿宋" w:hAnsi="仿宋"/>
          <w:b/>
          <w:sz w:val="28"/>
          <w:szCs w:val="28"/>
        </w:rPr>
        <w:t>附表</w:t>
      </w:r>
      <w:r w:rsidRPr="00D27DF1">
        <w:rPr>
          <w:rFonts w:ascii="仿宋" w:eastAsia="仿宋" w:hAnsi="仿宋" w:hint="eastAsia"/>
          <w:b/>
          <w:sz w:val="28"/>
          <w:szCs w:val="28"/>
        </w:rPr>
        <w:t>：资产支持专项计划存续期各日常报告类型内容及报送时限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20"/>
        <w:gridCol w:w="2030"/>
        <w:gridCol w:w="3544"/>
        <w:gridCol w:w="2126"/>
      </w:tblGrid>
      <w:tr w:rsidR="00BC77B1" w:rsidRPr="00FE0360" w:rsidTr="00A41CB9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报告类型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报告内容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报送时限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转让场所报告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挂牌转让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管理人变更报告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变更管理人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88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变更报告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转让场所、信用增级方式、交易文件主要约定发生变化；参与机构发生变更；其他重大变更情况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违规报告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管理人因专项计划被采取监管措施或自律措施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2个工作日内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重大事项报告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收益分配变动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2个工作日内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信用等级调整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专项计划资产变动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基础资产运行变动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业务参与机构/基础资产发生纠纷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基础资产现金流变动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业务参与机构违反合同约定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业务参与机构的资信情况或经营情况发生重大变化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业务参与机构信用评级调整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履行专项计划承诺事项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基础资产权属及权利负担/限制调整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专项计划现金流归集情况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重大不利报道或负面传闻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其他重大事项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重大事项处置措施及结果报告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重大事项处置措施及结果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收益分配报告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资产支持证券按照约定进行收益分配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398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定期报告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年度资产管理报告、年度托管报告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每年4月30日之前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跟踪评级报告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每年6月30日之前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终止清算报告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清算报告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10个工作日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其他事项报告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循环购买、循环购买调整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5个工作日内</w:t>
            </w: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持有人会议通知、决议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资产支持证券预期收益率调整/回售/赎回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C77B1" w:rsidRPr="00FE0360" w:rsidTr="00A41CB9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B1" w:rsidRPr="00FE0360" w:rsidRDefault="00BC77B1" w:rsidP="00A41C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E036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资产支持证券停牌、复牌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1" w:rsidRPr="00FE0360" w:rsidRDefault="00BC77B1" w:rsidP="00A41C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BC77B1" w:rsidRPr="0014103D" w:rsidRDefault="00BC77B1" w:rsidP="00BC77B1">
      <w:pPr>
        <w:widowControl/>
        <w:spacing w:line="20" w:lineRule="atLeast"/>
        <w:jc w:val="left"/>
        <w:rPr>
          <w:rFonts w:ascii="仿宋" w:eastAsia="仿宋" w:hAnsi="仿宋"/>
          <w:sz w:val="28"/>
          <w:szCs w:val="28"/>
        </w:rPr>
      </w:pPr>
    </w:p>
    <w:p w:rsidR="00B45258" w:rsidRPr="00BC77B1" w:rsidRDefault="00B45258">
      <w:bookmarkStart w:id="0" w:name="_GoBack"/>
      <w:bookmarkEnd w:id="0"/>
    </w:p>
    <w:sectPr w:rsidR="00B45258" w:rsidRPr="00BC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B1"/>
    <w:rsid w:val="00B45258"/>
    <w:rsid w:val="00B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方颖异</dc:creator>
  <cp:lastModifiedBy>方颖异</cp:lastModifiedBy>
  <cp:revision>1</cp:revision>
  <dcterms:created xsi:type="dcterms:W3CDTF">2020-09-11T06:56:00Z</dcterms:created>
  <dcterms:modified xsi:type="dcterms:W3CDTF">2020-09-11T06:56:00Z</dcterms:modified>
</cp:coreProperties>
</file>